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5" w:rsidRDefault="006F7EB5" w:rsidP="0082547D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Ref248571702"/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120130" cy="863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B5" w:rsidRDefault="006F7EB5" w:rsidP="0082547D">
      <w:pPr>
        <w:autoSpaceDE w:val="0"/>
        <w:autoSpaceDN w:val="0"/>
        <w:adjustRightInd w:val="0"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547D" w:rsidRPr="00EB11C1" w:rsidRDefault="0082547D" w:rsidP="0082547D">
      <w:pPr>
        <w:numPr>
          <w:ilvl w:val="1"/>
          <w:numId w:val="1"/>
        </w:numPr>
        <w:tabs>
          <w:tab w:val="clear" w:pos="1800"/>
          <w:tab w:val="num" w:pos="0"/>
          <w:tab w:val="left" w:pos="360"/>
        </w:tabs>
        <w:autoSpaceDE w:val="0"/>
        <w:autoSpaceDN w:val="0"/>
        <w:adjustRightInd w:val="0"/>
        <w:spacing w:before="120" w:after="36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B11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ПРОВОДИМОМ ЭЛЕКТРОННОМ АУКЦИОНЕ</w:t>
      </w:r>
      <w:bookmarkStart w:id="1" w:name="_Ref119427085"/>
      <w:bookmarkEnd w:id="0"/>
    </w:p>
    <w:p w:rsidR="0082547D" w:rsidRPr="00EB11C1" w:rsidRDefault="0082547D" w:rsidP="0082547D">
      <w:pPr>
        <w:pStyle w:val="ConsPlusNormal"/>
        <w:ind w:firstLine="539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EB11C1">
        <w:rPr>
          <w:rFonts w:eastAsia="Times New Roman"/>
          <w:bCs/>
          <w:sz w:val="22"/>
          <w:szCs w:val="22"/>
          <w:lang w:eastAsia="ru-RU"/>
        </w:rPr>
        <w:t xml:space="preserve">Настоящая документация об электронном аукционе (далее по тексту – документация об аукционе) </w:t>
      </w:r>
      <w:bookmarkEnd w:id="1"/>
      <w:r w:rsidRPr="00EB11C1">
        <w:rPr>
          <w:rFonts w:eastAsia="Times New Roman"/>
          <w:bCs/>
          <w:sz w:val="22"/>
          <w:szCs w:val="22"/>
          <w:lang w:eastAsia="ru-RU"/>
        </w:rPr>
        <w:t xml:space="preserve">подготовлена в соответствии с </w:t>
      </w:r>
      <w:r w:rsidRPr="00EB11C1">
        <w:rPr>
          <w:rFonts w:eastAsia="Times New Roman"/>
          <w:sz w:val="22"/>
          <w:szCs w:val="22"/>
          <w:lang w:eastAsia="ru-RU"/>
        </w:rPr>
        <w:t>постановлением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</w:t>
      </w:r>
      <w:proofErr w:type="gramEnd"/>
      <w:r w:rsidRPr="00EB11C1">
        <w:rPr>
          <w:rFonts w:eastAsia="Times New Roman"/>
          <w:sz w:val="22"/>
          <w:szCs w:val="22"/>
          <w:lang w:eastAsia="ru-RU"/>
        </w:rPr>
        <w:t xml:space="preserve"> обеспечение проведения капитального ремонта общего имущества в многоквартирных домах"</w:t>
      </w:r>
      <w:r w:rsidRPr="00EB11C1">
        <w:rPr>
          <w:rFonts w:eastAsia="Times New Roman"/>
          <w:bCs/>
          <w:sz w:val="22"/>
          <w:szCs w:val="22"/>
          <w:lang w:eastAsia="ru-RU"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378"/>
      </w:tblGrid>
      <w:tr w:rsidR="00362E1A" w:rsidRPr="00EB11C1" w:rsidTr="003B1E9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EB11C1" w:rsidTr="005D7C7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EB11C1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9230F6" w:rsidP="008409C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9C4">
              <w:rPr>
                <w:rFonts w:ascii="Times New Roman" w:eastAsia="Times New Roman" w:hAnsi="Times New Roman" w:cs="Times New Roman"/>
                <w:lang w:eastAsia="ru-RU"/>
              </w:rPr>
              <w:t>2017-0</w:t>
            </w:r>
            <w:r w:rsidR="008409C4" w:rsidRPr="008409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409C4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</w:tr>
      <w:tr w:rsidR="00584ED3" w:rsidRPr="00EB11C1" w:rsidTr="003B1E99">
        <w:trPr>
          <w:trHeight w:val="2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EB11C1" w:rsidRDefault="00584ED3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D3" w:rsidRPr="00EB11C1" w:rsidRDefault="00584ED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29.</w:t>
            </w:r>
            <w:proofErr w:type="gramEnd"/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628011, Ханты-Мансийский автономный округ – Югра, г. Ханты-Мансийск, ул. Студенческая, д.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Телефон 8 (3467) 363-137, факс 8 (3467) 363-138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 info@kapremontugra.ru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http://www.kapremontugra.ru/</w:t>
            </w: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0F6" w:rsidRPr="001D70AA" w:rsidRDefault="009230F6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Ответственное должностное лицо: </w:t>
            </w:r>
          </w:p>
          <w:p w:rsidR="009230F6" w:rsidRPr="001D70AA" w:rsidRDefault="00045E64" w:rsidP="009230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Румянцева Дарья Михайловна</w:t>
            </w:r>
            <w:r w:rsidR="009230F6" w:rsidRPr="00045E64">
              <w:rPr>
                <w:rFonts w:ascii="Times New Roman" w:eastAsia="Times New Roman" w:hAnsi="Times New Roman" w:cs="Times New Roman"/>
                <w:vanish/>
                <w:lang w:eastAsia="ru-RU"/>
              </w:rPr>
              <w:t>Губенко Владислав Васильевич</w:t>
            </w:r>
            <w:r w:rsidR="009230F6" w:rsidRPr="001D70AA">
              <w:rPr>
                <w:rFonts w:ascii="Times New Roman" w:eastAsia="Times New Roman" w:hAnsi="Times New Roman" w:cs="Times New Roman"/>
                <w:lang w:eastAsia="ru-RU"/>
              </w:rPr>
              <w:t>, телефон: 8 (3467) 318-434,</w:t>
            </w:r>
          </w:p>
          <w:p w:rsidR="0017567E" w:rsidRPr="00EB11C1" w:rsidRDefault="009230F6" w:rsidP="00045E6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proofErr w:type="spellStart"/>
            <w:r w:rsidR="00045E64">
              <w:rPr>
                <w:rFonts w:ascii="Times New Roman" w:eastAsia="Times New Roman" w:hAnsi="Times New Roman" w:cs="Times New Roman"/>
                <w:lang w:val="en-US" w:eastAsia="ru-RU"/>
              </w:rPr>
              <w:t>rdm</w:t>
            </w:r>
            <w:proofErr w:type="spellEnd"/>
            <w:r w:rsidRPr="001D70AA">
              <w:rPr>
                <w:rFonts w:ascii="Times New Roman" w:eastAsia="Times New Roman" w:hAnsi="Times New Roman" w:cs="Times New Roman"/>
                <w:lang w:eastAsia="ru-RU"/>
              </w:rPr>
              <w:t>@kapremontugra.ru</w:t>
            </w:r>
          </w:p>
        </w:tc>
      </w:tr>
      <w:tr w:rsidR="00362E1A" w:rsidRPr="00EB11C1" w:rsidTr="003B1E9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2" w:name="_Ref166267388"/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241EEF" w:rsidRDefault="00241EEF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EF">
              <w:rPr>
                <w:rFonts w:ascii="Times New Roman" w:hAnsi="Times New Roman" w:cs="Times New Roman"/>
              </w:rPr>
              <w:t>https://www.roseltorg.ru</w:t>
            </w:r>
          </w:p>
        </w:tc>
      </w:tr>
      <w:tr w:rsidR="00362E1A" w:rsidRPr="00EB11C1" w:rsidTr="003B1E99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_Ref166267499"/>
            <w:bookmarkStart w:id="4" w:name="_Ref166267456"/>
            <w:bookmarkStart w:id="5" w:name="_Ref353200173"/>
            <w:bookmarkEnd w:id="3"/>
            <w:bookmarkEnd w:id="4"/>
          </w:p>
        </w:tc>
        <w:bookmarkEnd w:id="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946D73" w:rsidRDefault="00045E64" w:rsidP="008409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D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город </w:t>
            </w:r>
            <w:r w:rsidR="008409C4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  <w:r w:rsidRPr="00946D73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округа-Югры.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D37F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выполнения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4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7C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выполнения работ (оказания услуг): </w:t>
            </w:r>
            <w:r w:rsidR="008409C4" w:rsidRPr="007D79D4">
              <w:rPr>
                <w:rFonts w:ascii="Times New Roman" w:hAnsi="Times New Roman" w:cs="Times New Roman"/>
              </w:rPr>
              <w:t>в соответствии  с частью V</w:t>
            </w:r>
            <w:r w:rsidR="008409C4" w:rsidRPr="007D79D4">
              <w:rPr>
                <w:rFonts w:ascii="Times New Roman" w:hAnsi="Times New Roman" w:cs="Times New Roman"/>
                <w:lang w:val="en-US"/>
              </w:rPr>
              <w:t>II</w:t>
            </w:r>
            <w:r w:rsidR="008409C4" w:rsidRPr="007D79D4">
              <w:rPr>
                <w:rFonts w:ascii="Times New Roman" w:hAnsi="Times New Roman" w:cs="Times New Roman"/>
              </w:rPr>
              <w:t xml:space="preserve">. «АДРЕСНЫЙ ПЕРЕЧЕНЬ МНОГОКВАРТИРНЫХ ДОМОВ» </w:t>
            </w:r>
            <w:r w:rsidR="00FB04B2">
              <w:rPr>
                <w:rFonts w:ascii="Times New Roman" w:eastAsia="Times New Roman" w:hAnsi="Times New Roman" w:cs="Times New Roman"/>
                <w:lang w:eastAsia="ru-RU"/>
              </w:rPr>
              <w:t>в отношении каждого лота.</w:t>
            </w:r>
          </w:p>
          <w:p w:rsidR="0082547D" w:rsidRPr="00087CF4" w:rsidRDefault="0082547D" w:rsidP="00AB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CF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Pr="00087CF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определяются в соответствии с проектом договора, </w:t>
            </w:r>
            <w:r w:rsidR="00087CF4" w:rsidRPr="00087CF4">
              <w:rPr>
                <w:rFonts w:ascii="Times New Roman" w:eastAsia="Times New Roman" w:hAnsi="Times New Roman" w:cs="Times New Roman"/>
                <w:lang w:eastAsia="ru-RU"/>
              </w:rPr>
              <w:t>проектной и сметной документацией</w:t>
            </w:r>
            <w:r w:rsidRPr="00087C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087CF4" w:rsidRDefault="0082547D" w:rsidP="00087C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  <w:r w:rsidRPr="00087CF4">
              <w:rPr>
                <w:rFonts w:ascii="Times New Roman" w:hAnsi="Times New Roman" w:cs="Times New Roman"/>
                <w:b/>
                <w:sz w:val="22"/>
                <w:szCs w:val="22"/>
              </w:rPr>
              <w:t>Сроки (периоды) выполнения работ:</w:t>
            </w:r>
            <w:r w:rsidR="00890069" w:rsidRPr="00087C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87CF4" w:rsidRPr="00087CF4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 xml:space="preserve">в соответствии с разделом </w:t>
            </w:r>
            <w:r w:rsidR="00087CF4" w:rsidRPr="00087CF4">
              <w:rPr>
                <w:rFonts w:ascii="Times New Roman" w:hAnsi="Times New Roman" w:cs="Times New Roman"/>
                <w:lang w:val="en-US"/>
              </w:rPr>
              <w:t>IV</w:t>
            </w:r>
            <w:r w:rsidR="00087CF4" w:rsidRPr="00087CF4">
              <w:rPr>
                <w:rFonts w:ascii="Times New Roman" w:hAnsi="Times New Roman" w:cs="Times New Roman"/>
              </w:rPr>
              <w:t xml:space="preserve"> «ГРАФИК ПРОИЗВОДСТВА РАБОТ»</w:t>
            </w:r>
          </w:p>
        </w:tc>
      </w:tr>
      <w:tr w:rsidR="003D75B2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EB11C1" w:rsidRDefault="003D75B2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EB11C1" w:rsidRDefault="003D75B2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Перечень, количество и характеристики основных материалов и оборудования в соответствии с 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требованиями проектной документации, необходимых для выполнения работ 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B2" w:rsidRPr="00045E64" w:rsidRDefault="00D22EB5" w:rsidP="00D22EB5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«ПРОЕКТНАЯ ДОКУМЕНТАЦИЯ» - </w:t>
            </w:r>
            <w:r w:rsidRPr="004734BD">
              <w:rPr>
                <w:rFonts w:ascii="Times New Roman" w:eastAsia="Times New Roman" w:hAnsi="Times New Roman" w:cs="Times New Roman"/>
                <w:lang w:eastAsia="ru-RU"/>
              </w:rPr>
              <w:t>«Спецификация» (в отношении каждого лота)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11C1">
              <w:rPr>
                <w:rFonts w:ascii="Times New Roman" w:hAnsi="Times New Roman" w:cs="Times New Roman"/>
              </w:rPr>
              <w:t>График вып</w:t>
            </w:r>
            <w:r w:rsidR="0096231F"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D311F0" w:rsidRDefault="00D311F0" w:rsidP="0096231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1F0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</w:t>
            </w:r>
            <w:r w:rsidR="00241EEF">
              <w:rPr>
                <w:rFonts w:ascii="Times New Roman" w:eastAsia="Times New Roman" w:hAnsi="Times New Roman" w:cs="Times New Roman"/>
                <w:lang w:eastAsia="ru-RU"/>
              </w:rPr>
              <w:t>в разделе</w:t>
            </w:r>
            <w:r w:rsidRPr="00D31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1F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087CF4"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ПРОИЗВОДСТВА</w:t>
            </w:r>
            <w:r w:rsidR="0024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11F0">
              <w:rPr>
                <w:rFonts w:ascii="Times New Roman" w:eastAsia="Times New Roman" w:hAnsi="Times New Roman" w:cs="Times New Roman"/>
                <w:lang w:eastAsia="ru-RU"/>
              </w:rPr>
              <w:t>РАБОТ»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1" w:rsidRDefault="00C95A41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  <w:p w:rsidR="00C95A41" w:rsidRDefault="00E26D2E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23 078 216,98  рублей (двадцать три миллиона семьдесят восемь тысяч двести шестнадцать рублей девяносто восемь копеек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), в т. ч. НДС (18%) 3 520 405,98 рублей (три миллиона пятьсот двадцать тысяч четыреста пять рублей девяносто восемь копеек)</w:t>
            </w:r>
            <w:r w:rsidR="00FB04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04B2" w:rsidRDefault="00FB04B2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95A41" w:rsidRDefault="00C95A41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B4E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C95A41" w:rsidRPr="00906B4E" w:rsidRDefault="00E26D2E" w:rsidP="00FB04B2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25 363 843,94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0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рублей (двадцать пять миллионов триста шестьдесят три тысячи восемьсот сорок три рубля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девяносто четыре копей</w:t>
            </w:r>
            <w:r w:rsidRPr="0009709D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, в 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ч. НДС 18%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,94 рублей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(т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ри миллиона восемьсот шестьдесят девять тыс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яч шестьдесят рублей девяносто четыре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D5E7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  <w:r w:rsidR="00FB04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13261" w:rsidRPr="00313261" w:rsidRDefault="0082547D" w:rsidP="00FB04B2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31326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</w:t>
            </w:r>
            <w:r w:rsidR="00496913" w:rsidRPr="00313261">
              <w:rPr>
                <w:rFonts w:ascii="Times New Roman" w:eastAsia="Times New Roman" w:hAnsi="Times New Roman" w:cs="Times New Roman"/>
                <w:lang w:eastAsia="ru-RU"/>
              </w:rPr>
              <w:t xml:space="preserve">цена договора включает в себя </w:t>
            </w:r>
            <w:r w:rsidR="00313261" w:rsidRPr="00313261">
              <w:rPr>
                <w:rFonts w:ascii="Times New Roman" w:hAnsi="Times New Roman"/>
              </w:rPr>
              <w:t>все затраты подрядчика, так или иначе связанные с выполнением комплекса работ на объекте, в том числе:</w:t>
            </w:r>
          </w:p>
          <w:p w:rsidR="00C95A41" w:rsidRDefault="0031326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A41">
              <w:rPr>
                <w:rFonts w:ascii="Times New Roman" w:hAnsi="Times New Roman" w:cs="Times New Roman"/>
                <w:sz w:val="22"/>
                <w:szCs w:val="22"/>
              </w:rPr>
              <w:t>- затраты на производство строительно-монтажных работ с учетом стоимости материалов, конструкций, изделий, систем и оборудования;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начала производства работ, и их демобилизацией после окончания работ или в случае прекращения действия договора;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затраты, связанные с обеспечением подрядчика электроэнергией, теплом, водой бытовой и питьевой, водоотведения, связью и иными ресурсами, необходимыми и достаточными для производства работ на объекте;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затраты на вывоз мусора и утилизацию отходов, транспортные расходы, содержание и уборку строительной площадки;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оплату налогов, сборов и других платежей, предусмотренных действующим законодательством РФ и договором;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получением подрядчиком всех свидетельств, разрешений, допусков, необходимых для выполнения им обязательств по договору;</w:t>
            </w:r>
          </w:p>
          <w:p w:rsidR="00C95A4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затраты, связанные с лабораторными заключениями и испытаниями выполнение которых необходимо для подтверждения качества выполненных работ;</w:t>
            </w:r>
          </w:p>
          <w:p w:rsidR="0082547D" w:rsidRPr="00313261" w:rsidRDefault="00C95A41" w:rsidP="00FB04B2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иные затраты, напрямую или косвенно связанные с выполнением работ, предусмотренных договором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Обоснование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Содержится </w:t>
            </w:r>
            <w:r w:rsidR="00236E53"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>в разделе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\r \h  \* MERGEFORMAT </w:instrTex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B04B2">
              <w:rPr>
                <w:rFonts w:ascii="Times New Roman" w:eastAsia="Times New Roman" w:hAnsi="Times New Roman" w:cs="Times New Roman"/>
                <w:bCs/>
                <w:lang w:eastAsia="ru-RU"/>
              </w:rPr>
              <w:t>VI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REF _Ref353191193 \h  \* MERGEFORMAT </w:instrTex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="00FB04B2" w:rsidRPr="00FB0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ОБОСНОВАНИЕ ЦЕНЫ ДОГОВОРА</w:t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C95A4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B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95A41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каждого лота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AA" w:rsidRPr="00EB11C1" w:rsidRDefault="00496913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29"/>
            </w:tblGrid>
            <w:tr w:rsidR="00362E1A" w:rsidRPr="00EB11C1">
              <w:trPr>
                <w:trHeight w:val="267"/>
              </w:trPr>
              <w:tc>
                <w:tcPr>
                  <w:tcW w:w="5829" w:type="dxa"/>
                </w:tcPr>
                <w:p w:rsidR="001006AA" w:rsidRPr="00EB11C1" w:rsidRDefault="001006AA" w:rsidP="00496913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62E1A" w:rsidRPr="00EB11C1" w:rsidTr="003B1E99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313261" w:rsidRDefault="00C95A41" w:rsidP="0086235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Заказчик производит </w:t>
            </w:r>
            <w:r>
              <w:rPr>
                <w:rFonts w:ascii="Times New Roman" w:hAnsi="Times New Roman"/>
                <w:bCs/>
              </w:rPr>
              <w:t>оплату выполненных работ в течение 10 (десяти) рабочих дней со дня подписания сторонами акта 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Сведения о валюте, используемой для формирования цены договора и расчетов с подрядчиками (исполнителями)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сдачи-приемки выполненных работ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236E53" w:rsidP="0032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Содержится в разделе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3261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F3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 xml:space="preserve">Требования к сроку предоставления гарантий на выполненные работы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BC" w:rsidRPr="00EB11C1" w:rsidRDefault="00A608BC" w:rsidP="00E534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Гарантийный срок на выполненные работы устанавливается на период 5 (</w:t>
            </w:r>
            <w:r w:rsidR="00496913" w:rsidRPr="00EB11C1">
              <w:rPr>
                <w:rFonts w:ascii="Times New Roman" w:hAnsi="Times New Roman" w:cs="Times New Roman"/>
              </w:rPr>
              <w:t>пять) лет с момента подписания сторонами акта приемки выполненных работ</w:t>
            </w:r>
          </w:p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даче разъяснений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12DD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дня до дня окончания срока подачи заявок </w:t>
            </w:r>
            <w:r w:rsidRPr="006C12DD">
              <w:rPr>
                <w:rFonts w:ascii="Times New Roman" w:hAnsi="Times New Roman" w:cs="Times New Roman"/>
              </w:rPr>
              <w:lastRenderedPageBreak/>
              <w:t>на участие в электронном аукционе</w:t>
            </w:r>
            <w:proofErr w:type="gramEnd"/>
            <w:r w:rsidRPr="006C12DD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01818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82547D" w:rsidRPr="006C12DD" w:rsidRDefault="006C12DD" w:rsidP="00385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38545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="0082547D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D7EB0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      </w:r>
            <w:r w:rsidR="00167E11" w:rsidRPr="006C12DD">
              <w:rPr>
                <w:rFonts w:ascii="Times New Roman" w:hAnsi="Times New Roman" w:cs="Times New Roman"/>
              </w:rPr>
              <w:t>.</w:t>
            </w:r>
          </w:p>
          <w:p w:rsidR="0082547D" w:rsidRPr="006C12DD" w:rsidRDefault="00167E11" w:rsidP="0016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2DD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6D7EB0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EB11C1" w:rsidTr="003B1E99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EB11C1" w:rsidRDefault="00320A05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EB11C1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Д</w:t>
            </w:r>
            <w:r w:rsidR="00320A05" w:rsidRPr="00EB11C1">
              <w:rPr>
                <w:rFonts w:ascii="Times New Roman" w:hAnsi="Times New Roman" w:cs="Times New Roman"/>
              </w:rPr>
              <w:t>ата начала срока подачи заявок на</w:t>
            </w:r>
            <w:r w:rsidR="00F30593" w:rsidRPr="00EB11C1">
              <w:rPr>
                <w:rFonts w:ascii="Times New Roman" w:hAnsi="Times New Roman" w:cs="Times New Roman"/>
              </w:rPr>
              <w:t xml:space="preserve">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6C12DD" w:rsidRDefault="00320A05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C01818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362E1A" w:rsidRPr="006C12DD" w:rsidRDefault="00362E1A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E1A" w:rsidRPr="00EB11C1" w:rsidTr="003B1E99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Ref166312503"/>
            <w:bookmarkStart w:id="7" w:name="_Ref166381471"/>
            <w:bookmarkEnd w:id="6"/>
          </w:p>
        </w:tc>
        <w:bookmarkEnd w:id="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B0" w:rsidRPr="006C12DD" w:rsidRDefault="003C5CBF" w:rsidP="00EB11C1">
            <w:pPr>
              <w:tabs>
                <w:tab w:val="left" w:pos="0"/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854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045E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6C12DD" w:rsidRPr="006C12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6C12DD" w:rsidRPr="006C12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  <w:r w:rsidR="00CB14B0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4B0" w:rsidRPr="006C12DD">
              <w:rPr>
                <w:rFonts w:ascii="Times New Roman" w:hAnsi="Times New Roman" w:cs="Times New Roman"/>
                <w:bCs/>
              </w:rPr>
              <w:t>(время</w:t>
            </w:r>
            <w:r w:rsidR="00CB14B0" w:rsidRPr="006C12DD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="00CB14B0" w:rsidRPr="006C12DD">
              <w:rPr>
                <w:rFonts w:ascii="Times New Roman" w:hAnsi="Times New Roman" w:cs="Times New Roman"/>
                <w:bCs/>
                <w:i/>
              </w:rPr>
              <w:t>(</w:t>
            </w:r>
            <w:r w:rsidR="00CB14B0" w:rsidRPr="006C12DD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="00CB14B0" w:rsidRPr="006C12DD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="00CB14B0" w:rsidRPr="006C12DD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="00CB14B0" w:rsidRPr="006C12DD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="00CB14B0" w:rsidRPr="006C12DD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" w:name="_Ref167122920"/>
          </w:p>
        </w:tc>
        <w:bookmarkEnd w:id="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EB11C1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05"/>
          </w:p>
        </w:tc>
        <w:bookmarkEnd w:id="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C12DD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9659C0"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B11C1" w:rsidRPr="006C12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AB6A73" w:rsidRPr="006C12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6A73" w:rsidRPr="006C12DD">
              <w:rPr>
                <w:rFonts w:ascii="Times New Roman" w:eastAsia="Times New Roman" w:hAnsi="Times New Roman" w:cs="Times New Roman"/>
                <w:i/>
                <w:lang w:eastAsia="ru-RU"/>
              </w:rPr>
              <w:t>(время проведения электронного аукциона устанавливается оператором электронной площадки)</w:t>
            </w:r>
          </w:p>
          <w:p w:rsidR="0082547D" w:rsidRPr="006C12DD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6313061"/>
            <w:bookmarkEnd w:id="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B11C1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F30593" w:rsidRPr="00EB11C1">
              <w:rPr>
                <w:rFonts w:ascii="Times New Roman" w:hAnsi="Times New Roman" w:cs="Times New Roman"/>
              </w:rPr>
              <w:t>участника электронного аукциона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3C5CBF" w:rsidP="003C5C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подачи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на участие в </w:t>
            </w:r>
            <w:r w:rsidR="0082547D" w:rsidRPr="00EB11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lastRenderedPageBreak/>
              <w:t xml:space="preserve">Подать заявку на участие в электронном аукционе может только лицо, включенное в реестр квалифицированных подрядных </w:t>
            </w:r>
            <w:r w:rsidRPr="00EB11C1">
              <w:rPr>
                <w:rFonts w:ascii="Times New Roman" w:hAnsi="Times New Roman" w:cs="Times New Roman"/>
              </w:rPr>
              <w:lastRenderedPageBreak/>
              <w:t>организаций и прошедшее регистрацию на электронной площадке.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Участник аукциона вправе подать только одну заявку на участие в электронном аукционе</w:t>
            </w:r>
            <w:r w:rsidR="002A3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AF7" w:rsidRPr="002A3AF7">
              <w:rPr>
                <w:rFonts w:ascii="Times New Roman" w:hAnsi="Times New Roman" w:cs="Times New Roman"/>
                <w:u w:val="single"/>
              </w:rPr>
              <w:t>(в отношении каждого лота)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</w:t>
            </w:r>
            <w:r w:rsidRPr="00195BEA">
              <w:rPr>
                <w:rFonts w:ascii="Times New Roman" w:eastAsia="Times New Roman" w:hAnsi="Times New Roman" w:cs="Times New Roman"/>
                <w:lang w:eastAsia="ru-RU"/>
              </w:rPr>
              <w:t>пунктом 2</w:t>
            </w:r>
            <w:r w:rsidR="0034077D" w:rsidRPr="00195B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настоящей документации об аукционе. 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аукционе, подготовленная участником аукциона, должна быть 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оставлена на русском языке.</w:t>
            </w:r>
            <w:bookmarkStart w:id="11" w:name="_Ref119430333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2" w:name="_Toc123405470"/>
            <w:bookmarkStart w:id="13" w:name="_Ref119429817"/>
            <w:bookmarkEnd w:id="11"/>
            <w:bookmarkEnd w:id="12"/>
            <w:bookmarkEnd w:id="13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82547D" w:rsidRPr="00EB11C1" w:rsidRDefault="0082547D" w:rsidP="00E534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Рекомендуемая форма заявки: участникам аукциона рекомендуется формировать  заявку на участие в электронном аукционе согласно приложению 1 к настоящей документации об электронном аукционе</w:t>
            </w:r>
          </w:p>
        </w:tc>
      </w:tr>
      <w:tr w:rsidR="00362E1A" w:rsidRPr="00EB11C1" w:rsidTr="004734BD">
        <w:trPr>
          <w:trHeight w:val="27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Ref166314817"/>
            <w:bookmarkStart w:id="15" w:name="_Ref166315159"/>
            <w:bookmarkEnd w:id="14"/>
            <w:bookmarkEnd w:id="1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1" w:rsidRDefault="0082547D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A4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следующем размере: 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1,2% от начальной (максимальной) цены договора, что составляет: </w:t>
            </w:r>
            <w:r w:rsidR="00E26D2E">
              <w:rPr>
                <w:rFonts w:ascii="Times New Roman" w:hAnsi="Times New Roman"/>
                <w:b/>
                <w:bCs/>
              </w:rPr>
              <w:t>276 938,60</w:t>
            </w:r>
            <w:r w:rsidR="00E26D2E"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E26D2E" w:rsidRPr="007D79D4">
              <w:rPr>
                <w:rFonts w:ascii="Times New Roman" w:hAnsi="Times New Roman"/>
                <w:bCs/>
              </w:rPr>
              <w:t xml:space="preserve"> (</w:t>
            </w:r>
            <w:r w:rsidR="00E26D2E">
              <w:rPr>
                <w:rFonts w:ascii="Times New Roman" w:hAnsi="Times New Roman"/>
                <w:bCs/>
              </w:rPr>
              <w:t>двести семьдесят шесть тысяч девятьсот тридцать восемь рублей шестьдесят копеек</w:t>
            </w:r>
            <w:r w:rsidR="00E26D2E" w:rsidRPr="007D79D4">
              <w:rPr>
                <w:rFonts w:ascii="Times New Roman" w:hAnsi="Times New Roman"/>
                <w:bCs/>
              </w:rPr>
              <w:t>)</w:t>
            </w:r>
            <w:r w:rsidR="004734BD">
              <w:rPr>
                <w:rFonts w:ascii="Times New Roman" w:hAnsi="Times New Roman"/>
                <w:bCs/>
              </w:rPr>
              <w:t>.</w:t>
            </w:r>
          </w:p>
          <w:p w:rsidR="004734BD" w:rsidRDefault="004734BD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723D">
              <w:rPr>
                <w:rFonts w:ascii="Times New Roman" w:hAnsi="Times New Roman"/>
                <w:b/>
                <w:bCs/>
              </w:rPr>
              <w:t>Лот №2</w:t>
            </w:r>
          </w:p>
          <w:p w:rsidR="0082547D" w:rsidRP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1,2% от начальной (максимальной) цены договора, что составляет: </w:t>
            </w:r>
            <w:r w:rsidR="00E26D2E">
              <w:rPr>
                <w:rFonts w:ascii="Times New Roman" w:hAnsi="Times New Roman"/>
                <w:b/>
                <w:bCs/>
              </w:rPr>
              <w:t>304 366,13</w:t>
            </w:r>
            <w:r w:rsidR="00E26D2E"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E26D2E" w:rsidRPr="007D79D4">
              <w:rPr>
                <w:rFonts w:ascii="Times New Roman" w:hAnsi="Times New Roman"/>
                <w:bCs/>
              </w:rPr>
              <w:t xml:space="preserve"> (</w:t>
            </w:r>
            <w:r w:rsidR="00E26D2E">
              <w:rPr>
                <w:rFonts w:ascii="Times New Roman" w:hAnsi="Times New Roman"/>
                <w:bCs/>
              </w:rPr>
              <w:t>триста четыре тысячи триста шестьдесят шесть рублей тринадцать копеек</w:t>
            </w:r>
            <w:r w:rsidR="00E26D2E" w:rsidRPr="007D79D4">
              <w:rPr>
                <w:rFonts w:ascii="Times New Roman" w:hAnsi="Times New Roman"/>
                <w:bCs/>
              </w:rPr>
              <w:t>)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 </w:t>
            </w:r>
          </w:p>
        </w:tc>
      </w:tr>
      <w:tr w:rsidR="00FA42FE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EB11C1" w:rsidRDefault="00FA42FE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EB11C1" w:rsidRDefault="00E2697A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FE" w:rsidRPr="00EB11C1" w:rsidRDefault="00E2697A" w:rsidP="00FA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A42FE" w:rsidRPr="00EB11C1">
              <w:rPr>
                <w:rFonts w:ascii="Times New Roman" w:eastAsia="Times New Roman" w:hAnsi="Times New Roman" w:cs="Times New Roman"/>
                <w:lang w:eastAsia="ru-RU"/>
              </w:rPr>
              <w:t>оставляет от 0,5% до 5% начальн</w:t>
            </w:r>
            <w:r w:rsidR="00F30593" w:rsidRPr="00EB11C1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AA7BE8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EB11C1" w:rsidRDefault="00AA7BE8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EB11C1" w:rsidRDefault="00AA7BE8" w:rsidP="002F79A5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договора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A5" w:rsidRPr="00EB11C1" w:rsidRDefault="00236E53" w:rsidP="0023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="00AA7BE8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="00AA7BE8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04B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8104B5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EB11C1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заключения договора</w:t>
            </w:r>
            <w:r w:rsidRPr="00EB11C1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1C1">
              <w:rPr>
                <w:rFonts w:ascii="Times New Roman" w:hAnsi="Times New Roman" w:cs="Times New Roman"/>
              </w:rPr>
              <w:t>В случае если победитель электронного аукциона или участник электронного аукциона, заявке которого присвоен второй номер, или единственный участник электронного аукциона в срок, предусмотренный документацией об электронном аукционе, не представил заказчику подписанный договор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</w:t>
            </w:r>
            <w:proofErr w:type="gramEnd"/>
            <w:r w:rsidRPr="00EB11C1">
              <w:rPr>
                <w:rFonts w:ascii="Times New Roman" w:hAnsi="Times New Roman" w:cs="Times New Roman"/>
              </w:rPr>
              <w:t xml:space="preserve"> заключения договора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r w:rsidR="00FA42FE" w:rsidRPr="00EB11C1">
              <w:rPr>
                <w:rFonts w:ascii="Times New Roman" w:hAnsi="Times New Roman" w:cs="Times New Roman"/>
              </w:rPr>
              <w:t>ранее,</w:t>
            </w:r>
            <w:r w:rsidRPr="00EB11C1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либо протокола рассмотрения единственной заявки на участие в электронном аукционе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6" w:name="_Ref166315233"/>
            <w:bookmarkStart w:id="17" w:name="_Ref166315600"/>
            <w:bookmarkStart w:id="18" w:name="_Ref166337491"/>
            <w:bookmarkEnd w:id="16"/>
            <w:bookmarkEnd w:id="17"/>
          </w:p>
        </w:tc>
        <w:bookmarkEnd w:id="1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договора. Способы, срок и порядок предоставления о</w:t>
            </w:r>
            <w:r w:rsidR="008E4F87" w:rsidRPr="00EB11C1">
              <w:rPr>
                <w:rFonts w:ascii="Times New Roman" w:eastAsia="Times New Roman" w:hAnsi="Times New Roman" w:cs="Times New Roman"/>
                <w:lang w:eastAsia="ru-RU"/>
              </w:rPr>
              <w:t>беспечения исполнения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1" w:rsidRDefault="00055348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4B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договора на участие в электронном аукционе предусмотрено в следующем размере: 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№1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3% от начальной (максимальной) цены договора, что составляет  </w:t>
            </w:r>
            <w:r w:rsidR="00E26D2E">
              <w:rPr>
                <w:rFonts w:ascii="Times New Roman" w:hAnsi="Times New Roman"/>
                <w:b/>
                <w:bCs/>
              </w:rPr>
              <w:t>692 346,51</w:t>
            </w:r>
            <w:r w:rsidR="00E26D2E"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E26D2E" w:rsidRPr="007D79D4">
              <w:rPr>
                <w:rFonts w:ascii="Times New Roman" w:hAnsi="Times New Roman"/>
                <w:bCs/>
              </w:rPr>
              <w:t xml:space="preserve"> (</w:t>
            </w:r>
            <w:r w:rsidR="00E26D2E">
              <w:rPr>
                <w:rFonts w:ascii="Times New Roman" w:hAnsi="Times New Roman"/>
                <w:bCs/>
              </w:rPr>
              <w:t>шестьсот девяносто две тысячи триста сорок шесть рублей пятьдесят одна копейка)</w:t>
            </w:r>
            <w:r w:rsidR="004734BD">
              <w:rPr>
                <w:rFonts w:ascii="Times New Roman" w:hAnsi="Times New Roman"/>
                <w:bCs/>
              </w:rPr>
              <w:t>.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  <w:i/>
              </w:rPr>
            </w:pP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6B4E">
              <w:rPr>
                <w:rFonts w:ascii="Times New Roman" w:eastAsia="Times New Roman" w:hAnsi="Times New Roman" w:cs="Times New Roman"/>
                <w:b/>
                <w:lang w:eastAsia="ru-RU"/>
              </w:rPr>
              <w:t>Лот №2</w:t>
            </w:r>
          </w:p>
          <w:p w:rsidR="00C95A41" w:rsidRDefault="00C95A41" w:rsidP="004734B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</w:rPr>
            </w:pPr>
            <w:r w:rsidRPr="007D79D4">
              <w:rPr>
                <w:rFonts w:ascii="Times New Roman" w:hAnsi="Times New Roman"/>
                <w:bCs/>
              </w:rPr>
              <w:t xml:space="preserve">3% от начальной (максимальной) цены договора, что составляет  </w:t>
            </w:r>
            <w:r w:rsidR="00E26D2E">
              <w:rPr>
                <w:rFonts w:ascii="Times New Roman" w:hAnsi="Times New Roman"/>
                <w:b/>
                <w:bCs/>
              </w:rPr>
              <w:t>760 915,32</w:t>
            </w:r>
            <w:r w:rsidR="00E26D2E" w:rsidRPr="007D79D4">
              <w:rPr>
                <w:rFonts w:ascii="Times New Roman" w:hAnsi="Times New Roman"/>
                <w:b/>
                <w:bCs/>
              </w:rPr>
              <w:t xml:space="preserve"> рублей</w:t>
            </w:r>
            <w:r w:rsidR="00E26D2E" w:rsidRPr="007D79D4">
              <w:rPr>
                <w:rFonts w:ascii="Times New Roman" w:hAnsi="Times New Roman"/>
                <w:bCs/>
              </w:rPr>
              <w:t xml:space="preserve"> (</w:t>
            </w:r>
            <w:r w:rsidR="00E26D2E">
              <w:rPr>
                <w:rFonts w:ascii="Times New Roman" w:hAnsi="Times New Roman"/>
                <w:bCs/>
              </w:rPr>
              <w:t>семьсот шестьдесят тысяч девятьсот пятнадцать рублей тридцать две копейки)</w:t>
            </w:r>
            <w:bookmarkStart w:id="19" w:name="_GoBack"/>
            <w:bookmarkEnd w:id="19"/>
            <w:r w:rsidR="004734BD">
              <w:rPr>
                <w:rFonts w:ascii="Times New Roman" w:hAnsi="Times New Roman"/>
                <w:bCs/>
              </w:rPr>
              <w:t>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извещении о проведении электронного аукциона. 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15DD">
              <w:rPr>
                <w:rFonts w:ascii="Times New Roman" w:hAnsi="Times New Roman" w:cs="Times New Roman"/>
              </w:rPr>
              <w:t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об</w:t>
            </w:r>
            <w:proofErr w:type="gramEnd"/>
            <w:r w:rsidRPr="006D15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15DD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6D15DD">
              <w:rPr>
                <w:rFonts w:ascii="Times New Roman" w:hAnsi="Times New Roman" w:cs="Times New Roman"/>
              </w:rPr>
              <w:t xml:space="preserve"> услуг предусмотрена выплата аванса).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Par1"/>
            <w:bookmarkEnd w:id="20"/>
            <w:r w:rsidRPr="006D15DD">
              <w:rPr>
                <w:rFonts w:ascii="Times New Roman" w:hAnsi="Times New Roman" w:cs="Times New Roman"/>
              </w:rPr>
              <w:t>Исполнение договора обеспечивается: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9" w:history="1">
              <w:r w:rsidRPr="006D15DD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6D15DD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обеспечительным платежом.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Способ обеспечения исполнения договора определяется участником электронного аукциона, с которым заключается договор, самостоятельно. 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а) быть безотзывной;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lastRenderedPageBreak/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д) срок действия банковской гарантии должен превышать срок выполнения работ по договору об </w:t>
            </w:r>
            <w:r w:rsidR="005C248F" w:rsidRPr="006D15DD">
              <w:rPr>
                <w:rFonts w:ascii="Times New Roman" w:hAnsi="Times New Roman" w:cs="Times New Roman"/>
              </w:rPr>
              <w:t>оказании услуг не менее чем на 9</w:t>
            </w:r>
            <w:r w:rsidRPr="006D15DD">
              <w:rPr>
                <w:rFonts w:ascii="Times New Roman" w:hAnsi="Times New Roman" w:cs="Times New Roman"/>
              </w:rPr>
              <w:t xml:space="preserve">0 </w:t>
            </w:r>
            <w:r w:rsidR="005C248F" w:rsidRPr="006D15DD">
              <w:rPr>
                <w:rFonts w:ascii="Times New Roman" w:hAnsi="Times New Roman" w:cs="Times New Roman"/>
              </w:rPr>
              <w:t xml:space="preserve">календарных </w:t>
            </w:r>
            <w:r w:rsidRPr="006D15DD">
              <w:rPr>
                <w:rFonts w:ascii="Times New Roman" w:hAnsi="Times New Roman" w:cs="Times New Roman"/>
              </w:rPr>
              <w:t>дней.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 xml:space="preserve">В банковской гарантии, помимо сведений, предусмотренных </w:t>
            </w:r>
            <w:hyperlink r:id="rId10" w:history="1">
              <w:r w:rsidRPr="006D15DD">
                <w:rPr>
                  <w:rFonts w:ascii="Times New Roman" w:hAnsi="Times New Roman" w:cs="Times New Roman"/>
                </w:rPr>
                <w:t>пунктом 4 статьи 368</w:t>
              </w:r>
            </w:hyperlink>
            <w:r w:rsidRPr="006D15DD">
              <w:rPr>
                <w:rFonts w:ascii="Times New Roman" w:hAnsi="Times New Roman" w:cs="Times New Roman"/>
              </w:rPr>
              <w:t xml:space="preserve"> Гражданского кодекса Российской Федерации, должно быть указано: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в) условие о том, что расходы, возникающие в связи с перечислением денежной суммы гарантом по банковской гарантии, несет гарант;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ж) платеж по банковской гарантии должен быть осуществлен гарантом в течение 5 банковских дней после поступления требования бенефициара;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Изменения, вносимые в договор, не освобождают гаранта от исполнения обязательств по банковской гарантии.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lastRenderedPageBreak/>
              <w:t>Недопустимо включение в банковскую гарантию: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а) положений о праве гаранта отказывать в удовлетворении требования к платежу по банковской гарантии, в случае непредставления гаранту бенефициаром уведомления о нарушении принципалом условий договора или расторжении договора;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б) требований к предоставлению бенефициаром гаранту отчета об исполнении договора.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1" w:name="Par27"/>
            <w:bookmarkEnd w:id="21"/>
            <w:r w:rsidRPr="006D15DD">
              <w:rPr>
                <w:rFonts w:ascii="Times New Roman" w:hAnsi="Times New Roman" w:cs="Times New Roman"/>
              </w:rPr>
      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      </w:r>
          </w:p>
          <w:p w:rsidR="0082547D" w:rsidRPr="006D15DD" w:rsidRDefault="0082547D" w:rsidP="00473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5DD">
              <w:rPr>
                <w:rFonts w:ascii="Times New Roman" w:hAnsi="Times New Roman" w:cs="Times New Roman"/>
              </w:rPr>
              <w:t>Банковская гарантия, предоставляемая участником электронного аукциона в качестве обеспечения исполнения договора, информация о ней и документы, должны быть включены в реестр банковских гарантий. Такие информация и документы должны быть подписаны усиленной неквалифицированной электронной подписью лица, имеющего право действовать от имени банка.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2" w:name="_Ref166315737"/>
          </w:p>
        </w:tc>
        <w:bookmarkEnd w:id="2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обеспечения исполнения договора (в случае, если участник аукциона выбрал обеспечение исполнения договора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73" w:rsidRPr="00EB11C1" w:rsidRDefault="00FD5126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Денежные сре</w:t>
            </w:r>
            <w:r w:rsidR="006D15DD">
              <w:rPr>
                <w:rFonts w:ascii="Times New Roman" w:eastAsia="Times New Roman" w:hAnsi="Times New Roman" w:cs="Times New Roman"/>
                <w:lang w:eastAsia="ru-RU"/>
              </w:rPr>
              <w:t>дства зачисляются подрядчиком</w:t>
            </w:r>
            <w:r w:rsidR="008E6373"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следующие реквизиты: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</w:t>
            </w:r>
            <w:r w:rsidR="00FD5126" w:rsidRPr="00EB11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8E6373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EB11C1">
              <w:t xml:space="preserve"> 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82547D" w:rsidRPr="00EB11C1" w:rsidRDefault="008E6373" w:rsidP="00CB14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договора подтверждается платежным поруче</w:t>
            </w:r>
            <w:r w:rsidR="002F79A5">
              <w:rPr>
                <w:rFonts w:ascii="Times New Roman" w:eastAsia="Times New Roman" w:hAnsi="Times New Roman" w:cs="Times New Roman"/>
                <w:lang w:eastAsia="ru-RU"/>
              </w:rPr>
              <w:t>нием с отметкой банка об оплате</w:t>
            </w:r>
          </w:p>
        </w:tc>
      </w:tr>
      <w:tr w:rsidR="00362E1A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3" w:name="_Ref166340053"/>
          </w:p>
        </w:tc>
        <w:bookmarkEnd w:id="2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EB11C1" w:rsidRDefault="0082547D" w:rsidP="00E5341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26" w:rsidRPr="00EB11C1" w:rsidRDefault="00FD5126" w:rsidP="00E5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11C1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EB11C1" w:rsidRDefault="005C248F" w:rsidP="004E6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11C1">
              <w:rPr>
                <w:rFonts w:ascii="Times New Roman" w:hAnsi="Times New Roman" w:cs="Times New Roman"/>
                <w:iCs/>
              </w:rPr>
              <w:t>Заказчиком м</w:t>
            </w:r>
            <w:r w:rsidR="0082547D" w:rsidRPr="00EB11C1">
              <w:rPr>
                <w:rFonts w:ascii="Times New Roman" w:hAnsi="Times New Roman" w:cs="Times New Roman"/>
                <w:iCs/>
              </w:rPr>
              <w:t>ожет быть увеличена цена договора по соглашению сторон в ходе его исполнения, но не более чем на 10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</w:t>
            </w:r>
            <w:r w:rsidR="000A262C" w:rsidRPr="00EB11C1">
              <w:rPr>
                <w:rFonts w:ascii="Times New Roman" w:hAnsi="Times New Roman" w:cs="Times New Roman"/>
                <w:iCs/>
              </w:rPr>
              <w:t xml:space="preserve">оговором объемов работ </w:t>
            </w:r>
          </w:p>
        </w:tc>
      </w:tr>
      <w:tr w:rsidR="0082547D" w:rsidRPr="00EB11C1" w:rsidTr="003B1E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E5341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B11C1" w:rsidRDefault="0082547D" w:rsidP="00340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1C1">
              <w:rPr>
                <w:rFonts w:ascii="Times New Roman" w:hAnsi="Times New Roman" w:cs="Times New Roman"/>
              </w:rPr>
              <w:t>Условия заключения договора с участником аукциона, с которым заключается договор по предложенной цене, которая на 25 и более процентов ниже начальной (максимальной) 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CB08D4" w:rsidRDefault="0082547D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1C1">
              <w:rPr>
                <w:rFonts w:ascii="Times New Roman" w:hAnsi="Times New Roman" w:cs="Times New Roman"/>
              </w:rPr>
              <w:t xml:space="preserve">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Pr="00CB08D4">
              <w:rPr>
                <w:rFonts w:ascii="Times New Roman" w:hAnsi="Times New Roman" w:cs="Times New Roman"/>
              </w:rPr>
              <w:t>обеспечения исполнения договора в размере, превышающем в 1,5 раза размер обеспечения его исполнения, указанный в документации об электронном аукционе, но не менее чем в размере аванса (если договором предусмотрена</w:t>
            </w:r>
            <w:proofErr w:type="gramEnd"/>
            <w:r w:rsidRPr="00CB08D4">
              <w:rPr>
                <w:rFonts w:ascii="Times New Roman" w:hAnsi="Times New Roman" w:cs="Times New Roman"/>
              </w:rPr>
              <w:t xml:space="preserve"> выплата аванса).</w:t>
            </w:r>
          </w:p>
          <w:p w:rsidR="005C0E7C" w:rsidRDefault="005C0E7C" w:rsidP="00CB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Также участник обязан представить заказчику обоснование предлагаемой цены договора (по каждой статье затрат, в том числе стоимость материалов и оборудования, расходы на </w:t>
            </w:r>
            <w:r>
              <w:rPr>
                <w:rFonts w:ascii="Times New Roman" w:hAnsi="Times New Roman" w:cs="Times New Roman"/>
              </w:rPr>
              <w:lastRenderedPageBreak/>
              <w:t>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подтверждающие возможность участника закупки осуществить выполнение работ по предлагаемой цене.</w:t>
            </w:r>
          </w:p>
          <w:p w:rsidR="003259EC" w:rsidRPr="00EB11C1" w:rsidRDefault="00CB08D4" w:rsidP="0032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</w:t>
            </w:r>
            <w:r w:rsidR="005C0E7C">
              <w:rPr>
                <w:rFonts w:ascii="Times New Roman" w:hAnsi="Times New Roman" w:cs="Times New Roman"/>
              </w:rPr>
              <w:t>представляется участником при направлении заказчику подписанного проекта до</w:t>
            </w:r>
            <w:r>
              <w:rPr>
                <w:rFonts w:ascii="Times New Roman" w:hAnsi="Times New Roman" w:cs="Times New Roman"/>
              </w:rPr>
              <w:t>говора</w:t>
            </w:r>
          </w:p>
        </w:tc>
      </w:tr>
    </w:tbl>
    <w:p w:rsidR="00CB14B0" w:rsidRPr="00EB11C1" w:rsidRDefault="00CB14B0" w:rsidP="00CB14B0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" w:name="_Ref248728669"/>
    </w:p>
    <w:p w:rsidR="00CB08D4" w:rsidRPr="00C95A41" w:rsidRDefault="00CB08D4" w:rsidP="00CB08D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5" w:name="_Ref248562863"/>
      <w:bookmarkEnd w:id="24"/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>ПРОЕКТНАЯ ДОКУМЕНТАЦИЯ</w:t>
      </w:r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B08D4" w:rsidRPr="00C95A41" w:rsidRDefault="00CB08D4" w:rsidP="00CB08D4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>СМЕТНАЯ ДОКУМЕНТАЦИЯ</w:t>
      </w:r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B08D4" w:rsidRPr="00C95A41" w:rsidRDefault="00236E53" w:rsidP="00CB08D4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>ГРАФИК ПРОИЗВОДСТВА</w:t>
      </w:r>
      <w:r w:rsidR="00195BEA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B08D4" w:rsidRPr="00C95A41">
        <w:rPr>
          <w:rFonts w:ascii="Times New Roman" w:eastAsia="Times New Roman" w:hAnsi="Times New Roman" w:cs="Times New Roman"/>
          <w:b/>
          <w:bCs/>
          <w:lang w:eastAsia="ru-RU"/>
        </w:rPr>
        <w:t>РАБОТ</w:t>
      </w:r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Default="00CB08D4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CB08D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2547D" w:rsidRPr="00C95A4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6" w:name="_Ref353189530"/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5"/>
      <w:bookmarkEnd w:id="26"/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82547D" w:rsidRDefault="0082547D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Pr="00C95A41" w:rsidRDefault="00C95A41" w:rsidP="0082547D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2547D" w:rsidRPr="00C95A41" w:rsidRDefault="0082547D" w:rsidP="0032461A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7" w:name="_Ref353191193"/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ОБОСНОВАНИЕ ЦЕНЫ ДОГОВОРА</w:t>
      </w:r>
      <w:bookmarkEnd w:id="27"/>
      <w:r w:rsidR="00C95A41"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2F79A5" w:rsidRDefault="0082547D" w:rsidP="00452F6E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C95A41" w:rsidRDefault="00C95A41" w:rsidP="00452F6E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95A41" w:rsidRPr="00C95A41" w:rsidRDefault="00C95A41" w:rsidP="00C95A41">
      <w:pPr>
        <w:numPr>
          <w:ilvl w:val="1"/>
          <w:numId w:val="1"/>
        </w:numPr>
        <w:tabs>
          <w:tab w:val="clear" w:pos="1800"/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АДРЕСНЫЙ ПЕРЕЧЕНЬ МНОГОКВАРТИРНЫХ ДОМОВ</w:t>
      </w:r>
      <w:r w:rsidRPr="00C95A41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отношении каждого лота</w:t>
      </w:r>
    </w:p>
    <w:p w:rsidR="00CB08D4" w:rsidRDefault="00C95A41" w:rsidP="00C95A41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95A41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6D7EB0" w:rsidRDefault="006D7EB0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D7EB0" w:rsidRDefault="006D7EB0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\</w:t>
      </w: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734BD" w:rsidRPr="00EB11C1" w:rsidRDefault="004734BD" w:rsidP="00897402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C01818" w:rsidRPr="003A38B9" w:rsidRDefault="00C01818" w:rsidP="00C018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95BEA" w:rsidRDefault="00C01818" w:rsidP="00C018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к документации о проведении </w:t>
      </w:r>
    </w:p>
    <w:p w:rsidR="00C01818" w:rsidRPr="003A38B9" w:rsidRDefault="00C01818" w:rsidP="00C018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>электронного аукциона</w:t>
      </w: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18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C01818" w:rsidRPr="00476C49" w:rsidRDefault="00C01818" w:rsidP="00C0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49"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 w:rsidRPr="00476C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76C49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C01818" w:rsidRPr="00476C49" w:rsidRDefault="00C01818" w:rsidP="00C01818">
      <w:pPr>
        <w:ind w:left="584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»</w:t>
      </w:r>
      <w:r w:rsidRPr="00476C49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C49"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 w:rsidRPr="00476C4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76C49">
        <w:rPr>
          <w:rFonts w:ascii="Times New Roman" w:hAnsi="Times New Roman" w:cs="Times New Roman"/>
          <w:sz w:val="24"/>
          <w:szCs w:val="24"/>
        </w:rPr>
        <w:t xml:space="preserve"> в лице 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электронного аукциона – юридического лица),  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476C49">
        <w:rPr>
          <w:rFonts w:ascii="Times New Roman" w:hAnsi="Times New Roman" w:cs="Times New Roman"/>
          <w:sz w:val="24"/>
          <w:szCs w:val="24"/>
        </w:rPr>
        <w:t xml:space="preserve">     просит рассмотреть заявку</w:t>
      </w:r>
      <w:proofErr w:type="gramEnd"/>
      <w:r w:rsidRPr="00476C49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(указывается предмет электронного аукциона).</w:t>
      </w:r>
      <w:r w:rsidRPr="00476C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(указывается наименование заказчика)      </w:t>
      </w:r>
      <w:r w:rsidRPr="00476C49"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C01818" w:rsidRPr="00476C49" w:rsidRDefault="00C01818" w:rsidP="00C0181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</w:t>
      </w:r>
      <w:r w:rsidR="00E926A8"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476C49">
        <w:rPr>
          <w:rFonts w:ascii="Times New Roman" w:hAnsi="Times New Roman" w:cs="Times New Roman"/>
          <w:sz w:val="24"/>
          <w:szCs w:val="24"/>
        </w:rPr>
        <w:t>: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C01818" w:rsidRPr="00476C49" w:rsidRDefault="00C01818" w:rsidP="00C018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единоличного исполнительного органа/ ИНН:</w:t>
      </w:r>
    </w:p>
    <w:p w:rsidR="00C01818" w:rsidRPr="00476C49" w:rsidRDefault="00C01818" w:rsidP="00C01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lastRenderedPageBreak/>
        <w:t>____________________________________/ИНН____________________________________,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C01818" w:rsidRPr="00476C49" w:rsidRDefault="00C01818" w:rsidP="00C01818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1818" w:rsidRPr="00476C49" w:rsidRDefault="00C01818" w:rsidP="00C01818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 </w:t>
      </w:r>
      <w:r w:rsidRPr="00476C49"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C01818" w:rsidRPr="00476C49" w:rsidRDefault="00C01818" w:rsidP="00C01818">
      <w:pPr>
        <w:pStyle w:val="a6"/>
        <w:tabs>
          <w:tab w:val="left" w:pos="284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49"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части 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476C4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Документации о проведении электронного аукциона).</w:t>
      </w:r>
    </w:p>
    <w:p w:rsidR="00C01818" w:rsidRPr="00476C49" w:rsidRDefault="00C01818" w:rsidP="00C018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1818" w:rsidRPr="00476C49" w:rsidRDefault="00C01818" w:rsidP="00C01818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rPr>
          <w:rFonts w:ascii="Times New Roman" w:hAnsi="Times New Roman" w:cs="Times New Roman"/>
          <w:sz w:val="24"/>
          <w:szCs w:val="24"/>
        </w:rPr>
      </w:pPr>
    </w:p>
    <w:p w:rsidR="00C01818" w:rsidRPr="00476C49" w:rsidRDefault="00C01818" w:rsidP="00C018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EB11C1" w:rsidRDefault="00CD62AC" w:rsidP="00C01818">
      <w:pPr>
        <w:spacing w:after="0" w:line="240" w:lineRule="auto"/>
        <w:ind w:left="5670"/>
        <w:jc w:val="right"/>
      </w:pPr>
    </w:p>
    <w:sectPr w:rsidR="00CD62AC" w:rsidRPr="00EB11C1" w:rsidSect="006C078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B2" w:rsidRDefault="00FB04B2" w:rsidP="0082547D">
      <w:pPr>
        <w:spacing w:after="0" w:line="240" w:lineRule="auto"/>
      </w:pPr>
      <w:r>
        <w:separator/>
      </w:r>
    </w:p>
  </w:endnote>
  <w:endnote w:type="continuationSeparator" w:id="0">
    <w:p w:rsidR="00FB04B2" w:rsidRDefault="00FB04B2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B2" w:rsidRDefault="00FB04B2" w:rsidP="0082547D">
      <w:pPr>
        <w:spacing w:after="0" w:line="240" w:lineRule="auto"/>
      </w:pPr>
      <w:r>
        <w:separator/>
      </w:r>
    </w:p>
  </w:footnote>
  <w:footnote w:type="continuationSeparator" w:id="0">
    <w:p w:rsidR="00FB04B2" w:rsidRDefault="00FB04B2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34FCF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34C95"/>
    <w:rsid w:val="00045E64"/>
    <w:rsid w:val="00052C49"/>
    <w:rsid w:val="00055348"/>
    <w:rsid w:val="000862DB"/>
    <w:rsid w:val="00087CF4"/>
    <w:rsid w:val="000A262C"/>
    <w:rsid w:val="000A2BBF"/>
    <w:rsid w:val="000A45D5"/>
    <w:rsid w:val="001006AA"/>
    <w:rsid w:val="00126AB0"/>
    <w:rsid w:val="00131CDA"/>
    <w:rsid w:val="00167E11"/>
    <w:rsid w:val="0017567E"/>
    <w:rsid w:val="001958DE"/>
    <w:rsid w:val="00195BEA"/>
    <w:rsid w:val="001C259F"/>
    <w:rsid w:val="001C262F"/>
    <w:rsid w:val="001C4458"/>
    <w:rsid w:val="001D3295"/>
    <w:rsid w:val="0022388F"/>
    <w:rsid w:val="00236E53"/>
    <w:rsid w:val="00241EEF"/>
    <w:rsid w:val="00261F32"/>
    <w:rsid w:val="00283640"/>
    <w:rsid w:val="002A0E7E"/>
    <w:rsid w:val="002A3AF7"/>
    <w:rsid w:val="002F2D00"/>
    <w:rsid w:val="002F79A5"/>
    <w:rsid w:val="00313261"/>
    <w:rsid w:val="00320A05"/>
    <w:rsid w:val="00321352"/>
    <w:rsid w:val="003228FA"/>
    <w:rsid w:val="00323910"/>
    <w:rsid w:val="0032461A"/>
    <w:rsid w:val="003259EC"/>
    <w:rsid w:val="00325F89"/>
    <w:rsid w:val="0034077D"/>
    <w:rsid w:val="00354EBA"/>
    <w:rsid w:val="00362E1A"/>
    <w:rsid w:val="00385459"/>
    <w:rsid w:val="003B1E99"/>
    <w:rsid w:val="003B30F4"/>
    <w:rsid w:val="003B55C8"/>
    <w:rsid w:val="003C5CBF"/>
    <w:rsid w:val="003C71C7"/>
    <w:rsid w:val="003D75B2"/>
    <w:rsid w:val="003E5A82"/>
    <w:rsid w:val="00410137"/>
    <w:rsid w:val="004376D5"/>
    <w:rsid w:val="00446851"/>
    <w:rsid w:val="00452F6E"/>
    <w:rsid w:val="004734BD"/>
    <w:rsid w:val="00496913"/>
    <w:rsid w:val="004A5391"/>
    <w:rsid w:val="004D687A"/>
    <w:rsid w:val="004E0EB8"/>
    <w:rsid w:val="004E6EA5"/>
    <w:rsid w:val="004F5784"/>
    <w:rsid w:val="00525618"/>
    <w:rsid w:val="00535ECC"/>
    <w:rsid w:val="00546E53"/>
    <w:rsid w:val="00584ED3"/>
    <w:rsid w:val="005946DD"/>
    <w:rsid w:val="005C0E7C"/>
    <w:rsid w:val="005C248F"/>
    <w:rsid w:val="005D7C7E"/>
    <w:rsid w:val="0063364A"/>
    <w:rsid w:val="00646EFD"/>
    <w:rsid w:val="006629E7"/>
    <w:rsid w:val="00663BD5"/>
    <w:rsid w:val="0067011E"/>
    <w:rsid w:val="006B4688"/>
    <w:rsid w:val="006C078B"/>
    <w:rsid w:val="006C12DD"/>
    <w:rsid w:val="006D15DD"/>
    <w:rsid w:val="006D7EB0"/>
    <w:rsid w:val="006E7049"/>
    <w:rsid w:val="006F7EB5"/>
    <w:rsid w:val="00723FB1"/>
    <w:rsid w:val="007477A3"/>
    <w:rsid w:val="00784439"/>
    <w:rsid w:val="00790DD4"/>
    <w:rsid w:val="007C7046"/>
    <w:rsid w:val="007D319E"/>
    <w:rsid w:val="007E5E33"/>
    <w:rsid w:val="008104B5"/>
    <w:rsid w:val="008135B8"/>
    <w:rsid w:val="0082547D"/>
    <w:rsid w:val="008256C8"/>
    <w:rsid w:val="008409C4"/>
    <w:rsid w:val="0086235F"/>
    <w:rsid w:val="00875E38"/>
    <w:rsid w:val="00890069"/>
    <w:rsid w:val="00897402"/>
    <w:rsid w:val="008A770F"/>
    <w:rsid w:val="008D30B9"/>
    <w:rsid w:val="008E4968"/>
    <w:rsid w:val="008E4F87"/>
    <w:rsid w:val="008E6373"/>
    <w:rsid w:val="009122D0"/>
    <w:rsid w:val="009230F6"/>
    <w:rsid w:val="00924D7F"/>
    <w:rsid w:val="00946D73"/>
    <w:rsid w:val="0096231F"/>
    <w:rsid w:val="009659C0"/>
    <w:rsid w:val="00990DEF"/>
    <w:rsid w:val="009A362D"/>
    <w:rsid w:val="009D2195"/>
    <w:rsid w:val="00A11C91"/>
    <w:rsid w:val="00A33B7D"/>
    <w:rsid w:val="00A45733"/>
    <w:rsid w:val="00A46562"/>
    <w:rsid w:val="00A5447D"/>
    <w:rsid w:val="00A608BC"/>
    <w:rsid w:val="00A72719"/>
    <w:rsid w:val="00A85FA6"/>
    <w:rsid w:val="00AA7BE8"/>
    <w:rsid w:val="00AB062F"/>
    <w:rsid w:val="00AB6A73"/>
    <w:rsid w:val="00B1549A"/>
    <w:rsid w:val="00B22928"/>
    <w:rsid w:val="00B53249"/>
    <w:rsid w:val="00B97C94"/>
    <w:rsid w:val="00BB6636"/>
    <w:rsid w:val="00C01818"/>
    <w:rsid w:val="00C15D32"/>
    <w:rsid w:val="00C62441"/>
    <w:rsid w:val="00C7065A"/>
    <w:rsid w:val="00C8772B"/>
    <w:rsid w:val="00C95A41"/>
    <w:rsid w:val="00CA1014"/>
    <w:rsid w:val="00CB08D4"/>
    <w:rsid w:val="00CB14B0"/>
    <w:rsid w:val="00CD62AC"/>
    <w:rsid w:val="00D06CF5"/>
    <w:rsid w:val="00D22EB5"/>
    <w:rsid w:val="00D3070B"/>
    <w:rsid w:val="00D311F0"/>
    <w:rsid w:val="00D36437"/>
    <w:rsid w:val="00D37F55"/>
    <w:rsid w:val="00D93E2B"/>
    <w:rsid w:val="00D97A24"/>
    <w:rsid w:val="00DA4C20"/>
    <w:rsid w:val="00DB2CFC"/>
    <w:rsid w:val="00DC1DA3"/>
    <w:rsid w:val="00DE7CBA"/>
    <w:rsid w:val="00E2564C"/>
    <w:rsid w:val="00E2697A"/>
    <w:rsid w:val="00E26D2E"/>
    <w:rsid w:val="00E360F5"/>
    <w:rsid w:val="00E53412"/>
    <w:rsid w:val="00E61AA2"/>
    <w:rsid w:val="00E926A8"/>
    <w:rsid w:val="00EB11C1"/>
    <w:rsid w:val="00ED25F8"/>
    <w:rsid w:val="00F002AE"/>
    <w:rsid w:val="00F30593"/>
    <w:rsid w:val="00F64C9F"/>
    <w:rsid w:val="00F93EB0"/>
    <w:rsid w:val="00FA42FE"/>
    <w:rsid w:val="00FB04B2"/>
    <w:rsid w:val="00FD5126"/>
    <w:rsid w:val="00FE073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E0EB8"/>
    <w:rPr>
      <w:color w:val="0000FF" w:themeColor="hyperlink"/>
      <w:u w:val="single"/>
    </w:rPr>
  </w:style>
  <w:style w:type="paragraph" w:customStyle="1" w:styleId="ConsPlusNonformat">
    <w:name w:val="ConsPlusNonformat"/>
    <w:rsid w:val="00322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6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89D430D1BB503DBF33D4DE122ABA102AA9F350AE9D839D9A1542538DA1A631C4F878E5587ACi92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89D430D1BB503DBF33D4DE122ABA102AA9F3905E6D839D9A1542538DA1A631C4F878D5386iA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12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125</cp:revision>
  <cp:lastPrinted>2017-03-31T04:42:00Z</cp:lastPrinted>
  <dcterms:created xsi:type="dcterms:W3CDTF">2016-08-26T10:43:00Z</dcterms:created>
  <dcterms:modified xsi:type="dcterms:W3CDTF">2017-03-31T13:10:00Z</dcterms:modified>
</cp:coreProperties>
</file>