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5E" w:rsidRDefault="004B35F3" w:rsidP="004B35F3">
      <w:pPr>
        <w:jc w:val="left"/>
      </w:pPr>
      <w:r>
        <w:t>ООО «</w:t>
      </w:r>
      <w:proofErr w:type="spellStart"/>
      <w:r>
        <w:t>РиК</w:t>
      </w:r>
      <w:proofErr w:type="spellEnd"/>
      <w:r>
        <w:t xml:space="preserve">» </w:t>
      </w:r>
      <w:r>
        <w:br/>
      </w:r>
      <w:r>
        <w:br/>
        <w:t xml:space="preserve">ул. Романа Брянского, 2-8, г. Брянск, 241037 </w:t>
      </w:r>
      <w:r>
        <w:br/>
      </w:r>
      <w:r>
        <w:br/>
      </w:r>
      <w:hyperlink r:id="rId4" w:history="1">
        <w:r>
          <w:rPr>
            <w:rStyle w:val="a3"/>
          </w:rPr>
          <w:t>ooorik3@mail.ru</w:t>
        </w:r>
      </w:hyperlink>
      <w:r>
        <w:t xml:space="preserve"> </w:t>
      </w:r>
      <w:r>
        <w:br/>
      </w:r>
      <w:r>
        <w:br/>
        <w:t xml:space="preserve">Региональный фонд капитального </w:t>
      </w:r>
      <w:r>
        <w:br/>
        <w:t xml:space="preserve">ремонта многоквартирных домов </w:t>
      </w:r>
      <w:r>
        <w:br/>
        <w:t xml:space="preserve">Брянской области </w:t>
      </w:r>
      <w:r>
        <w:br/>
      </w:r>
      <w:r>
        <w:br/>
        <w:t xml:space="preserve">ул. Трудовая, д. 1, г. Брянск, 241050 </w:t>
      </w:r>
      <w:r>
        <w:br/>
      </w:r>
      <w:r>
        <w:br/>
      </w:r>
      <w:hyperlink r:id="rId5" w:history="1">
        <w:r>
          <w:rPr>
            <w:rStyle w:val="a3"/>
          </w:rPr>
          <w:t>fkr32@bk.ru</w:t>
        </w:r>
      </w:hyperlink>
      <w:r>
        <w:t xml:space="preserve"> </w:t>
      </w:r>
      <w:r>
        <w:br/>
      </w:r>
      <w:r>
        <w:br/>
        <w:t xml:space="preserve">АО «Единая электронная торговая </w:t>
      </w:r>
      <w:r>
        <w:br/>
        <w:t xml:space="preserve">площадка» </w:t>
      </w:r>
      <w:r>
        <w:br/>
      </w:r>
      <w:r>
        <w:br/>
        <w:t xml:space="preserve">ул. </w:t>
      </w:r>
      <w:proofErr w:type="spellStart"/>
      <w:r>
        <w:t>Кожевническая</w:t>
      </w:r>
      <w:proofErr w:type="spellEnd"/>
      <w:r>
        <w:t xml:space="preserve">, д. 14, стр. 5, г. Москва, </w:t>
      </w:r>
      <w:r>
        <w:br/>
        <w:t xml:space="preserve">115114 </w:t>
      </w:r>
      <w:r>
        <w:br/>
      </w:r>
      <w:r>
        <w:br/>
      </w:r>
      <w:hyperlink r:id="rId6" w:history="1">
        <w:r>
          <w:rPr>
            <w:rStyle w:val="a3"/>
          </w:rPr>
          <w:t>info@roseltorg.ru</w:t>
        </w:r>
        <w:proofErr w:type="gramStart"/>
      </w:hyperlink>
      <w:r>
        <w:t xml:space="preserve"> </w:t>
      </w:r>
      <w:r>
        <w:br/>
      </w:r>
      <w:r>
        <w:br/>
        <w:t>О</w:t>
      </w:r>
      <w:proofErr w:type="gramEnd"/>
      <w:r>
        <w:t xml:space="preserve"> принятии жалобы к рассмотрению </w:t>
      </w:r>
      <w:r>
        <w:br/>
      </w:r>
      <w:r>
        <w:br/>
        <w:t xml:space="preserve">В Федеральную антимонопольную службу </w:t>
      </w:r>
      <w:r>
        <w:br/>
        <w:t>поступила жалоба ООО «</w:t>
      </w:r>
      <w:proofErr w:type="spellStart"/>
      <w:r>
        <w:t>РиК</w:t>
      </w:r>
      <w:proofErr w:type="spellEnd"/>
      <w:r>
        <w:t xml:space="preserve">» на действия </w:t>
      </w:r>
      <w:r>
        <w:br/>
        <w:t xml:space="preserve">организатора торгов — Регионального </w:t>
      </w:r>
      <w:r>
        <w:br/>
        <w:t xml:space="preserve">фонда капитального ремонта </w:t>
      </w:r>
      <w:r>
        <w:br/>
        <w:t xml:space="preserve">многоквартирных домов Брянской </w:t>
      </w:r>
      <w:r>
        <w:br/>
        <w:t xml:space="preserve">области, оператора электронной </w:t>
      </w:r>
      <w:r>
        <w:br/>
        <w:t xml:space="preserve">площадки – АО «Единая электронная </w:t>
      </w:r>
      <w:r>
        <w:br/>
        <w:t xml:space="preserve">торговая площадка» при проведении </w:t>
      </w:r>
      <w:r>
        <w:br/>
        <w:t xml:space="preserve">аукциона на право заключения договора </w:t>
      </w:r>
      <w:r>
        <w:br/>
        <w:t xml:space="preserve">на выполнение работ по разработке </w:t>
      </w:r>
      <w:r>
        <w:br/>
      </w:r>
      <w:r>
        <w:lastRenderedPageBreak/>
        <w:t xml:space="preserve">проектной (проектно-сметной) </w:t>
      </w:r>
      <w:r>
        <w:br/>
        <w:t xml:space="preserve">документации на проведение </w:t>
      </w:r>
      <w:r>
        <w:br/>
        <w:t xml:space="preserve">капитального ремонта в </w:t>
      </w:r>
      <w:r>
        <w:br/>
        <w:t>многоквартирном (-</w:t>
      </w:r>
      <w:proofErr w:type="spellStart"/>
      <w:r>
        <w:t>ых</w:t>
      </w:r>
      <w:proofErr w:type="spellEnd"/>
      <w:r>
        <w:t>) дом</w:t>
      </w:r>
      <w:proofErr w:type="gramStart"/>
      <w:r>
        <w:t>е(</w:t>
      </w:r>
      <w:proofErr w:type="gramEnd"/>
      <w:r>
        <w:t xml:space="preserve">-ах), </w:t>
      </w:r>
      <w:r>
        <w:br/>
        <w:t xml:space="preserve">включенных в краткосрочный план </w:t>
      </w:r>
      <w:r>
        <w:br/>
        <w:t xml:space="preserve">реализации региональной программы </w:t>
      </w:r>
      <w:r>
        <w:br/>
        <w:t xml:space="preserve">«Проведение капитального ремонта </w:t>
      </w:r>
      <w:r>
        <w:br/>
        <w:t xml:space="preserve">общего имущества многоквартирных </w:t>
      </w:r>
      <w:r>
        <w:br/>
        <w:t xml:space="preserve">домов на территории Брянской области </w:t>
      </w:r>
      <w:r>
        <w:br/>
        <w:t xml:space="preserve">(2014-2043 годы)». </w:t>
      </w:r>
      <w:r>
        <w:br/>
      </w:r>
      <w:r>
        <w:br/>
        <w:t>Уполномоченные представител</w:t>
      </w:r>
      <w:proofErr w:type="gramStart"/>
      <w:r>
        <w:t>и ООО</w:t>
      </w:r>
      <w:proofErr w:type="gramEnd"/>
      <w:r>
        <w:t xml:space="preserve"> </w:t>
      </w:r>
      <w:r>
        <w:br/>
        <w:t>«</w:t>
      </w:r>
      <w:proofErr w:type="spellStart"/>
      <w:r>
        <w:t>РиК</w:t>
      </w:r>
      <w:proofErr w:type="spellEnd"/>
      <w:r>
        <w:t xml:space="preserve">», Регионального фонда </w:t>
      </w:r>
      <w:r>
        <w:br/>
        <w:t xml:space="preserve">капитального ремонта многоквартирных </w:t>
      </w:r>
      <w:r>
        <w:br/>
        <w:t xml:space="preserve">домов Брянской области, АО «Единая </w:t>
      </w:r>
      <w:r>
        <w:br/>
        <w:t xml:space="preserve">электронная торговая площадка» вправе </w:t>
      </w:r>
      <w:r>
        <w:br/>
        <w:t xml:space="preserve">явиться на рассмотрение жалобы в 11:00 </w:t>
      </w:r>
      <w:r>
        <w:br/>
        <w:t xml:space="preserve">03.04.2017 по адресу: г. Москва, ул. Садовая </w:t>
      </w:r>
      <w:r>
        <w:br/>
        <w:t xml:space="preserve">Кудринская, д. 11, ЗАЛ ЗАСЕДАНИЙ № 3. </w:t>
      </w:r>
      <w:r>
        <w:br/>
      </w:r>
      <w:r>
        <w:br/>
        <w:t xml:space="preserve">В соответствии с частями 18, 19 статьи 18.1 </w:t>
      </w:r>
      <w:r>
        <w:br/>
        <w:t xml:space="preserve">Федерального закона от 26.07.2006 № 135-ФЗ «О </w:t>
      </w:r>
      <w:r>
        <w:br/>
        <w:t xml:space="preserve">защите конкуренции» (далее – Закон о </w:t>
      </w:r>
      <w:r>
        <w:br/>
        <w:t xml:space="preserve">защите конкуренции) со дня направления </w:t>
      </w:r>
      <w:r>
        <w:br/>
        <w:t xml:space="preserve">данного уведомления торги </w:t>
      </w:r>
      <w:r>
        <w:br/>
        <w:t xml:space="preserve">приостанавливаются до рассмотрения </w:t>
      </w:r>
      <w:r>
        <w:br/>
        <w:t xml:space="preserve">жалобы на действия (бездействие) </w:t>
      </w:r>
      <w:r>
        <w:br/>
        <w:t xml:space="preserve">организатора торгов, оператора </w:t>
      </w:r>
      <w:r>
        <w:br/>
        <w:t xml:space="preserve">электронной площадки по существу. </w:t>
      </w:r>
      <w:r>
        <w:br/>
        <w:t xml:space="preserve">Организатор торгов, которому </w:t>
      </w:r>
      <w:r>
        <w:br/>
        <w:t xml:space="preserve">направлено уведомление, не вправе </w:t>
      </w:r>
      <w:r>
        <w:br/>
        <w:t xml:space="preserve">заключать договор до принятия </w:t>
      </w:r>
      <w:r>
        <w:br/>
        <w:t xml:space="preserve">антимонопольным органом решения по </w:t>
      </w:r>
      <w:r>
        <w:br/>
        <w:t xml:space="preserve">жалобе. Договор, заключенный с </w:t>
      </w:r>
      <w:r>
        <w:br/>
      </w:r>
      <w:r>
        <w:lastRenderedPageBreak/>
        <w:t xml:space="preserve">нарушением требования, является </w:t>
      </w:r>
      <w:r>
        <w:br/>
        <w:t xml:space="preserve">ничтожным. </w:t>
      </w:r>
      <w:r>
        <w:br/>
      </w:r>
      <w:r>
        <w:br/>
        <w:t xml:space="preserve">Согласно части 12 статьи 18.1 Закона о </w:t>
      </w:r>
      <w:r>
        <w:br/>
        <w:t xml:space="preserve">защите конкуренции организатор торгов, </w:t>
      </w:r>
      <w:r>
        <w:br/>
        <w:t xml:space="preserve">оператор электронной площадки, </w:t>
      </w:r>
      <w:r>
        <w:br/>
        <w:t xml:space="preserve">действия (бездействие) которых </w:t>
      </w:r>
      <w:r>
        <w:br/>
        <w:t xml:space="preserve">обжалуются, в течение одного рабочего </w:t>
      </w:r>
      <w:r>
        <w:br/>
        <w:t xml:space="preserve">дня с момента получения уведомления </w:t>
      </w:r>
      <w:r>
        <w:br/>
        <w:t xml:space="preserve">обязаны известить лиц, подавших заявки </w:t>
      </w:r>
      <w:r>
        <w:br/>
        <w:t xml:space="preserve">на участие в торгах, о факте </w:t>
      </w:r>
      <w:r>
        <w:br/>
        <w:t xml:space="preserve">поступления жалобы, ее содержании, </w:t>
      </w:r>
      <w:r>
        <w:br/>
        <w:t xml:space="preserve">месте и времени ее рассмотрения. </w:t>
      </w:r>
      <w:r>
        <w:br/>
      </w:r>
      <w:r>
        <w:br/>
      </w:r>
      <w:proofErr w:type="gramStart"/>
      <w:r>
        <w:t xml:space="preserve">Также на основании части 15 статьи 18.1 </w:t>
      </w:r>
      <w:r>
        <w:br/>
        <w:t xml:space="preserve">Закона о защите конкуренции </w:t>
      </w:r>
      <w:r>
        <w:br/>
        <w:t xml:space="preserve">организатор торгов обязан представить </w:t>
      </w:r>
      <w:r>
        <w:br/>
        <w:t xml:space="preserve">на рассмотрение жалобы по существу </w:t>
      </w:r>
      <w:r>
        <w:br/>
        <w:t xml:space="preserve">договор с оператором электронной </w:t>
      </w:r>
      <w:r>
        <w:br/>
        <w:t xml:space="preserve">площадки, документацию о торгах, </w:t>
      </w:r>
      <w:r>
        <w:br/>
        <w:t xml:space="preserve">изменения, внесенные в документацию о </w:t>
      </w:r>
      <w:r>
        <w:br/>
        <w:t xml:space="preserve">торгах, заявки, поданные на участие в </w:t>
      </w:r>
      <w:r>
        <w:br/>
        <w:t xml:space="preserve">торгах, протоколы, составленные в ходе </w:t>
      </w:r>
      <w:r>
        <w:br/>
        <w:t xml:space="preserve">проведения торгов, договор, </w:t>
      </w:r>
      <w:r>
        <w:br/>
        <w:t xml:space="preserve">заключенный с победителем торгов (при </w:t>
      </w:r>
      <w:r>
        <w:br/>
        <w:t xml:space="preserve">наличии), аудио-, видеозаписи и иные </w:t>
      </w:r>
      <w:r>
        <w:br/>
        <w:t>документы и сведения</w:t>
      </w:r>
      <w:proofErr w:type="gramEnd"/>
      <w:r>
        <w:t xml:space="preserve">, </w:t>
      </w:r>
      <w:proofErr w:type="gramStart"/>
      <w:r>
        <w:t xml:space="preserve">составленные в </w:t>
      </w:r>
      <w:r>
        <w:br/>
        <w:t xml:space="preserve">ходе организации и проведения торгов; </w:t>
      </w:r>
      <w:r>
        <w:br/>
        <w:t xml:space="preserve">оператор электронной площадки обязан </w:t>
      </w:r>
      <w:r>
        <w:br/>
        <w:t xml:space="preserve">представить договор с организатором </w:t>
      </w:r>
      <w:r>
        <w:br/>
        <w:t xml:space="preserve">торгов, регламент электронной </w:t>
      </w:r>
      <w:r>
        <w:br/>
        <w:t xml:space="preserve">площадки, заявки на участие в торгах, </w:t>
      </w:r>
      <w:r>
        <w:br/>
        <w:t xml:space="preserve">протоколы, составленные в ходе </w:t>
      </w:r>
      <w:r>
        <w:br/>
        <w:t xml:space="preserve">проведения торгов, журнал учета </w:t>
      </w:r>
      <w:r>
        <w:br/>
      </w:r>
      <w:r>
        <w:lastRenderedPageBreak/>
        <w:t xml:space="preserve">пользователей, журнал активности </w:t>
      </w:r>
      <w:r>
        <w:br/>
        <w:t xml:space="preserve">пользователей с расшифровкой действий, </w:t>
      </w:r>
      <w:r>
        <w:br/>
        <w:t xml:space="preserve">совершенных пользователями по данным </w:t>
      </w:r>
      <w:r>
        <w:br/>
        <w:t xml:space="preserve">торгам, журнал хода аукциона и иные </w:t>
      </w:r>
      <w:r>
        <w:br/>
        <w:t xml:space="preserve">документы </w:t>
      </w:r>
      <w:r>
        <w:br/>
        <w:t xml:space="preserve">и сведения, составленные в ходе </w:t>
      </w:r>
      <w:r>
        <w:br/>
        <w:t>организации и проведения торгов.</w:t>
      </w:r>
      <w:proofErr w:type="gramEnd"/>
      <w:r>
        <w:t xml:space="preserve"> </w:t>
      </w:r>
      <w:r>
        <w:br/>
      </w:r>
      <w:r>
        <w:br/>
        <w:t xml:space="preserve">Документы и информация должны быть </w:t>
      </w:r>
      <w:r>
        <w:br/>
        <w:t xml:space="preserve">представлены в прошитом виде и </w:t>
      </w:r>
      <w:r>
        <w:br/>
        <w:t xml:space="preserve">заверены печатью (при наличии) и </w:t>
      </w:r>
      <w:r>
        <w:br/>
        <w:t xml:space="preserve">подписью уполномоченного лица. </w:t>
      </w:r>
      <w:r>
        <w:br/>
      </w:r>
      <w:r>
        <w:br/>
        <w:t xml:space="preserve">За непредставление или </w:t>
      </w:r>
      <w:r>
        <w:br/>
        <w:t xml:space="preserve">несвоевременное представление </w:t>
      </w:r>
      <w:r>
        <w:br/>
        <w:t xml:space="preserve">сведений (информации), а равно </w:t>
      </w:r>
      <w:r>
        <w:br/>
        <w:t xml:space="preserve">представление заведомо недостоверных </w:t>
      </w:r>
      <w:r>
        <w:br/>
        <w:t xml:space="preserve">сведений (информации) в </w:t>
      </w:r>
      <w:r>
        <w:br/>
        <w:t xml:space="preserve">антимонопольный орган предусмотрена </w:t>
      </w:r>
      <w:r>
        <w:br/>
        <w:t xml:space="preserve">административная ответственность в </w:t>
      </w:r>
      <w:r>
        <w:br/>
        <w:t xml:space="preserve">соответствии с частью 5 статьи 19.8 </w:t>
      </w:r>
      <w:r>
        <w:br/>
        <w:t xml:space="preserve">Кодекса Российской Федерации об </w:t>
      </w:r>
      <w:r>
        <w:br/>
        <w:t xml:space="preserve">административных правонарушениях. </w:t>
      </w:r>
      <w:r>
        <w:br/>
      </w:r>
      <w:r>
        <w:br/>
        <w:t xml:space="preserve">Информация о жалобе размещена на сайте </w:t>
      </w:r>
      <w:r>
        <w:br/>
      </w:r>
      <w:hyperlink r:id="rId7" w:history="1">
        <w:r>
          <w:rPr>
            <w:rStyle w:val="a3"/>
          </w:rPr>
          <w:t>www.fas.gov.ru</w:t>
        </w:r>
      </w:hyperlink>
      <w:r>
        <w:t xml:space="preserve"> </w:t>
      </w:r>
      <w:r>
        <w:br/>
      </w:r>
      <w:r>
        <w:br/>
        <w:t xml:space="preserve">Контактный телефон для обеспечения </w:t>
      </w:r>
      <w:r>
        <w:br/>
        <w:t xml:space="preserve">пропуска в здание ФАС России: 8 (499) 755-23-23 </w:t>
      </w:r>
      <w:r>
        <w:br/>
      </w:r>
      <w:proofErr w:type="spellStart"/>
      <w:r>
        <w:t>доб</w:t>
      </w:r>
      <w:proofErr w:type="spellEnd"/>
      <w:r>
        <w:t xml:space="preserve">. 088-264, 088-865. </w:t>
      </w:r>
      <w:r>
        <w:br/>
      </w:r>
      <w:r>
        <w:br/>
        <w:t xml:space="preserve">Приложение: на 3 л. в 1 экз. </w:t>
      </w:r>
      <w:r>
        <w:br/>
      </w:r>
      <w:r>
        <w:br/>
        <w:t>Р.А</w:t>
      </w:r>
    </w:p>
    <w:sectPr w:rsidR="0094455E" w:rsidSect="004B3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5F3"/>
    <w:rsid w:val="004335ED"/>
    <w:rsid w:val="004B35F3"/>
    <w:rsid w:val="0094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eltorg.ru" TargetMode="External"/><Relationship Id="rId5" Type="http://schemas.openxmlformats.org/officeDocument/2006/relationships/hyperlink" Target="mailto:fkr32@bk.ru" TargetMode="External"/><Relationship Id="rId4" Type="http://schemas.openxmlformats.org/officeDocument/2006/relationships/hyperlink" Target="mailto:ooorik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Евгений</dc:creator>
  <cp:lastModifiedBy>Евграфов Евгений</cp:lastModifiedBy>
  <cp:revision>1</cp:revision>
  <dcterms:created xsi:type="dcterms:W3CDTF">2017-03-31T06:45:00Z</dcterms:created>
  <dcterms:modified xsi:type="dcterms:W3CDTF">2017-03-31T06:54:00Z</dcterms:modified>
</cp:coreProperties>
</file>