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6528B7">
        <w:rPr>
          <w:rFonts w:ascii="Times New Roman" w:eastAsia="Calibri" w:hAnsi="Times New Roman" w:cs="Times New Roman"/>
          <w:sz w:val="24"/>
          <w:szCs w:val="24"/>
        </w:rPr>
        <w:t>1</w:t>
      </w:r>
      <w:r w:rsidR="0002765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528B7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659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</w:t>
      </w:r>
      <w:r w:rsidR="001828D1">
        <w:rPr>
          <w:rFonts w:ascii="Times New Roman" w:hAnsi="Times New Roman" w:cs="Times New Roman"/>
          <w:b/>
          <w:sz w:val="24"/>
          <w:szCs w:val="24"/>
        </w:rPr>
        <w:t>2</w:t>
      </w:r>
      <w:r w:rsidR="0057328A">
        <w:rPr>
          <w:rFonts w:ascii="Times New Roman" w:hAnsi="Times New Roman" w:cs="Times New Roman"/>
          <w:b/>
          <w:sz w:val="24"/>
          <w:szCs w:val="24"/>
        </w:rPr>
        <w:t>3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8A18F0" w:rsidRDefault="008A18F0" w:rsidP="008A18F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ербент, </w:t>
      </w:r>
      <w:r w:rsidR="0057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ул.Тагиева, д.33.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CA6008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proofErr w:type="spellEnd"/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proofErr w:type="spellStart"/>
      <w:r w:rsidRPr="00E453E7">
        <w:rPr>
          <w:rFonts w:cs="Times New Roman"/>
          <w:color w:val="auto"/>
          <w:sz w:val="24"/>
        </w:rPr>
        <w:t>minstroy.e-dag.ru</w:t>
      </w:r>
      <w:proofErr w:type="spellEnd"/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65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B7" w:rsidRDefault="006528B7" w:rsidP="006528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8B7" w:rsidRPr="00A140C6" w:rsidRDefault="006528B7" w:rsidP="006528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023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Махачкала, ул. </w:t>
            </w:r>
            <w:proofErr w:type="spell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Буганова</w:t>
            </w:r>
            <w:proofErr w:type="spell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F8" w:rsidRDefault="002F6BF8" w:rsidP="002F6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CA6008" w:rsidRDefault="00CA6008" w:rsidP="00CA6008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AA0C5D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342D3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57328A" w:rsidRDefault="0057328A" w:rsidP="00AA0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3 898 700,00 руб. (три миллиона  восемьсот девяносто восемь тысяч семьсот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41478" w:rsidRDefault="00B11599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57328A" w:rsidRPr="0057328A" w:rsidRDefault="0057328A" w:rsidP="0057328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Pr="0057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46 784,40 руб. (сорок шесть тысяча семьсот восемьдесят четыре рублей 40 копеек).</w:t>
            </w:r>
          </w:p>
          <w:p w:rsidR="00B10DD3" w:rsidRPr="001E325C" w:rsidRDefault="00B11599" w:rsidP="005732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</w:t>
            </w:r>
            <w:r w:rsidRPr="0018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883323" w:rsidRDefault="00B11599" w:rsidP="0088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883323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7328A" w:rsidRPr="0057328A" w:rsidRDefault="0057328A" w:rsidP="005732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</w:p>
          <w:p w:rsidR="0057328A" w:rsidRPr="0057328A" w:rsidRDefault="0057328A" w:rsidP="005732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389 870,00 руб. (триста восемьдесят девять тысячи восемьсот семьдесят рублей 00 копеек).</w:t>
            </w:r>
          </w:p>
          <w:p w:rsidR="005922DB" w:rsidRPr="001E325C" w:rsidRDefault="00B11599" w:rsidP="0057328A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57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</w:t>
            </w:r>
            <w:r w:rsidR="005922DB" w:rsidRPr="001E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которая на 25 (двадцать пять) и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1828D1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ербент, </w:t>
            </w:r>
            <w:r w:rsidR="001E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ул.Тагиева, д.33 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1828D1" w:rsidRDefault="001828D1" w:rsidP="001E1B9D">
            <w:pPr>
              <w:jc w:val="center"/>
            </w:pPr>
            <w:r w:rsidRPr="0029354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Ремонт </w:t>
            </w:r>
            <w:r w:rsidR="001E1B9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фасада</w:t>
            </w:r>
          </w:p>
          <w:p w:rsidR="008A18F0" w:rsidRDefault="008A18F0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C71" w:rsidRDefault="00980C71" w:rsidP="006342D3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57328A" w:rsidRDefault="0057328A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573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3 898 700,00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2F6BF8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7C" w:rsidRDefault="0004067C" w:rsidP="009E4821">
      <w:pPr>
        <w:spacing w:after="0" w:line="240" w:lineRule="auto"/>
      </w:pPr>
      <w:r>
        <w:separator/>
      </w:r>
    </w:p>
  </w:endnote>
  <w:endnote w:type="continuationSeparator" w:id="0">
    <w:p w:rsidR="0004067C" w:rsidRDefault="0004067C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7C" w:rsidRDefault="0004067C" w:rsidP="009E4821">
      <w:pPr>
        <w:spacing w:after="0" w:line="240" w:lineRule="auto"/>
      </w:pPr>
      <w:r>
        <w:separator/>
      </w:r>
    </w:p>
  </w:footnote>
  <w:footnote w:type="continuationSeparator" w:id="0">
    <w:p w:rsidR="0004067C" w:rsidRDefault="0004067C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659"/>
    <w:rsid w:val="00027DB9"/>
    <w:rsid w:val="00030137"/>
    <w:rsid w:val="00030A65"/>
    <w:rsid w:val="00031801"/>
    <w:rsid w:val="0004067C"/>
    <w:rsid w:val="000421C7"/>
    <w:rsid w:val="000527AB"/>
    <w:rsid w:val="00052A5F"/>
    <w:rsid w:val="00055548"/>
    <w:rsid w:val="000558F3"/>
    <w:rsid w:val="000575B6"/>
    <w:rsid w:val="000609E3"/>
    <w:rsid w:val="000669E0"/>
    <w:rsid w:val="00070E34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A61FB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28D1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1B9D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45D"/>
    <w:rsid w:val="00210641"/>
    <w:rsid w:val="00211833"/>
    <w:rsid w:val="00211A7E"/>
    <w:rsid w:val="0021215E"/>
    <w:rsid w:val="00213261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B21"/>
    <w:rsid w:val="00291CC6"/>
    <w:rsid w:val="00292D23"/>
    <w:rsid w:val="002947B4"/>
    <w:rsid w:val="00294894"/>
    <w:rsid w:val="00294EDA"/>
    <w:rsid w:val="00295D66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2F6BF8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E5583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1478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0990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4BEB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5A0A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03EE"/>
    <w:rsid w:val="00562852"/>
    <w:rsid w:val="0056384B"/>
    <w:rsid w:val="0056455F"/>
    <w:rsid w:val="00565956"/>
    <w:rsid w:val="00567DE7"/>
    <w:rsid w:val="00571664"/>
    <w:rsid w:val="00571A68"/>
    <w:rsid w:val="00571CEF"/>
    <w:rsid w:val="00572D22"/>
    <w:rsid w:val="0057328A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5F7546"/>
    <w:rsid w:val="006009FF"/>
    <w:rsid w:val="00600F2D"/>
    <w:rsid w:val="00610DDA"/>
    <w:rsid w:val="006243EF"/>
    <w:rsid w:val="00630072"/>
    <w:rsid w:val="0063318E"/>
    <w:rsid w:val="006342D3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8B7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0237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6F4BAF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44A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3323"/>
    <w:rsid w:val="00884FA8"/>
    <w:rsid w:val="008850F5"/>
    <w:rsid w:val="00885C10"/>
    <w:rsid w:val="0089357B"/>
    <w:rsid w:val="00894CC4"/>
    <w:rsid w:val="00894F6E"/>
    <w:rsid w:val="008976F0"/>
    <w:rsid w:val="008A18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11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5E0D"/>
    <w:rsid w:val="00A7616D"/>
    <w:rsid w:val="00A76393"/>
    <w:rsid w:val="00A85623"/>
    <w:rsid w:val="00A90726"/>
    <w:rsid w:val="00A9227A"/>
    <w:rsid w:val="00A95738"/>
    <w:rsid w:val="00A97113"/>
    <w:rsid w:val="00AA0C5D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170F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04A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65B79"/>
    <w:rsid w:val="00C67AE5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008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18F8"/>
    <w:rsid w:val="00D326C8"/>
    <w:rsid w:val="00D33D6D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312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6903"/>
    <w:rsid w:val="00E570B5"/>
    <w:rsid w:val="00E572FC"/>
    <w:rsid w:val="00E6631A"/>
    <w:rsid w:val="00E670A7"/>
    <w:rsid w:val="00E67A95"/>
    <w:rsid w:val="00E733BF"/>
    <w:rsid w:val="00E73F93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CBEA-B713-4A02-B9C1-729D72E7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7339</TotalTime>
  <Pages>23</Pages>
  <Words>9129</Words>
  <Characters>52038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170</cp:revision>
  <cp:lastPrinted>2017-01-27T01:26:00Z</cp:lastPrinted>
  <dcterms:created xsi:type="dcterms:W3CDTF">2017-06-07T13:34:00Z</dcterms:created>
  <dcterms:modified xsi:type="dcterms:W3CDTF">2017-07-13T07:09:00Z</dcterms:modified>
</cp:coreProperties>
</file>