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14</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августа </w:t>
      </w:r>
      <w:r>
        <w:rPr>
          <w:rFonts w:ascii="Times New Roman" w:hAnsi="Times New Roman" w:cs="Times New Roman"/>
          <w:sz w:val="24"/>
          <w:szCs w:val="24"/>
        </w:rPr>
        <w:t>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 xml:space="preserve">ДОКУМЕНТАЦИЯ О ПРОВЕДЕНИИ ЭЛЕКТРОННОГО АУКЦИОНА </w:t>
      </w:r>
    </w:p>
    <w:p>
      <w:pPr>
        <w:pStyle w:val="18"/>
        <w:jc w:val="center"/>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Капитальный ремонт фундамента и фасада </w:t>
      </w:r>
      <w:r>
        <w:rPr>
          <w:rFonts w:hint="default" w:ascii="Times New Roman" w:hAnsi="Times New Roman" w:cs="Times New Roman"/>
          <w:sz w:val="24"/>
          <w:szCs w:val="24"/>
        </w:rPr>
        <w:t>МКД</w:t>
      </w:r>
    </w:p>
    <w:p>
      <w:pPr>
        <w:pStyle w:val="18"/>
        <w:jc w:val="center"/>
        <w:rPr>
          <w:rFonts w:ascii="Times New Roman" w:hAnsi="Times New Roman" w:cs="Times New Roman"/>
          <w:sz w:val="24"/>
          <w:szCs w:val="24"/>
        </w:rPr>
      </w:pPr>
      <w:r>
        <w:rPr>
          <w:rFonts w:hint="default" w:ascii="Times New Roman" w:hAnsi="Times New Roman" w:cs="Times New Roman"/>
          <w:sz w:val="24"/>
          <w:szCs w:val="24"/>
        </w:rPr>
        <w:t>Республика Адыгея, г.Майкоп, ул.Ленина,54</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56"/>
            <w:bookmarkEnd w:id="24"/>
            <w:bookmarkStart w:id="25" w:name="_Ref166267499"/>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Капитальный ремонт фундамента и фасада </w:t>
            </w:r>
            <w:r>
              <w:rPr>
                <w:rFonts w:hint="default" w:ascii="Times New Roman" w:hAnsi="Times New Roman" w:cs="Times New Roman"/>
                <w:sz w:val="24"/>
                <w:szCs w:val="24"/>
              </w:rPr>
              <w:t>МКД</w:t>
            </w:r>
          </w:p>
          <w:p>
            <w:pPr>
              <w:pStyle w:val="18"/>
              <w:jc w:val="center"/>
              <w:rPr>
                <w:rFonts w:ascii="Times New Roman" w:hAnsi="Times New Roman" w:cs="Times New Roman"/>
                <w:sz w:val="24"/>
                <w:szCs w:val="24"/>
              </w:rPr>
            </w:pPr>
            <w:r>
              <w:rPr>
                <w:rFonts w:hint="default" w:ascii="Times New Roman" w:hAnsi="Times New Roman" w:cs="Times New Roman"/>
                <w:sz w:val="24"/>
                <w:szCs w:val="24"/>
              </w:rPr>
              <w:t>Республика Адыгея, г.Майкоп, ул.Ленина,54</w:t>
            </w: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default" w:ascii="Times New Roman" w:hAnsi="Times New Roman" w:cs="Times New Roman"/>
                <w:sz w:val="24"/>
                <w:szCs w:val="24"/>
              </w:rPr>
            </w:pPr>
            <w:r>
              <w:rPr>
                <w:rFonts w:ascii="Times New Roman" w:hAnsi="Times New Roman" w:eastAsia="Times New Roman" w:cs="Times New Roman"/>
                <w:b/>
                <w:lang w:eastAsia="ru-RU"/>
              </w:rPr>
              <w:t xml:space="preserve">Место выполнения работ: </w:t>
            </w:r>
            <w:r>
              <w:rPr>
                <w:rFonts w:ascii="Times New Roman" w:hAnsi="Times New Roman" w:cs="Times New Roman"/>
                <w:sz w:val="24"/>
                <w:szCs w:val="24"/>
              </w:rPr>
              <w:t>:</w:t>
            </w:r>
            <w:r>
              <w:rPr>
                <w:rFonts w:hint="default" w:ascii="Times New Roman" w:hAnsi="Times New Roman" w:cs="Times New Roman"/>
                <w:sz w:val="24"/>
                <w:szCs w:val="24"/>
              </w:rPr>
              <w:t>Республика Адыгея, г.Майкоп, ул.Ленина,54</w:t>
            </w:r>
          </w:p>
          <w:p>
            <w:pPr>
              <w:autoSpaceDE w:val="0"/>
              <w:autoSpaceDN w:val="0"/>
              <w:adjustRightInd w:val="0"/>
              <w:jc w:val="left"/>
              <w:rPr>
                <w:rFonts w:ascii="Times New Roman" w:hAnsi="Times New Roman" w:eastAsia="Times New Roman" w:cs="Times New Roman"/>
                <w:lang w:val="en-US"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настоящей ДАЭФ</w:t>
            </w:r>
          </w:p>
          <w:p>
            <w:pPr>
              <w:pStyle w:val="16"/>
              <w:jc w:val="left"/>
              <w:rPr>
                <w:rFonts w:ascii="Times New Roman" w:hAnsi="Times New Roman" w:cs="Times New Roman"/>
                <w:sz w:val="22"/>
                <w:szCs w:val="22"/>
                <w:highlight w:val="yellow"/>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 xml:space="preserve">30 </w:t>
            </w:r>
            <w:r>
              <w:rPr>
                <w:rFonts w:ascii="Times New Roman" w:hAnsi="Times New Roman" w:cs="Times New Roman"/>
                <w:sz w:val="22"/>
                <w:szCs w:val="22"/>
                <w:highlight w:val="yellow"/>
              </w:rPr>
              <w:t xml:space="preserve"> календарных дней.</w:t>
            </w:r>
          </w:p>
          <w:p>
            <w:pPr>
              <w:pStyle w:val="16"/>
              <w:jc w:val="left"/>
              <w:rPr>
                <w:rFonts w:ascii="Times New Roman" w:hAnsi="Times New Roman" w:cs="Times New Roman"/>
                <w:sz w:val="22"/>
                <w:szCs w:val="22"/>
              </w:rPr>
            </w:pP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snapToGrid w:val="0"/>
                <w:highlight w:val="yellow"/>
                <w:lang w:eastAsia="ru-RU"/>
              </w:rPr>
            </w:pPr>
            <w:r>
              <w:rPr>
                <w:rFonts w:ascii="Times New Roman" w:hAnsi="Times New Roman" w:eastAsia="Times New Roman" w:cs="Times New Roman"/>
                <w:bCs/>
                <w:snapToGrid w:val="0"/>
                <w:highlight w:val="yellow"/>
                <w:lang w:val="en-US" w:eastAsia="ru-RU"/>
              </w:rPr>
              <w:t>478 457,00  руб, в т.ч.НДС 72 984,96</w:t>
            </w:r>
            <w:bookmarkStart w:id="48" w:name="_GoBack"/>
            <w:bookmarkEnd w:id="48"/>
            <w:r>
              <w:rPr>
                <w:rFonts w:ascii="Times New Roman" w:hAnsi="Times New Roman" w:eastAsia="Times New Roman" w:cs="Times New Roman"/>
                <w:bCs/>
                <w:snapToGrid w:val="0"/>
                <w:highlight w:val="yellow"/>
                <w:lang w:val="en-US" w:eastAsia="ru-RU"/>
              </w:rPr>
              <w:t xml:space="preserve">  руб.</w:t>
            </w:r>
          </w:p>
          <w:p>
            <w:pPr>
              <w:spacing w:after="60" w:line="240" w:lineRule="auto"/>
              <w:jc w:val="both"/>
              <w:rPr>
                <w:rFonts w:ascii="Times New Roman" w:hAnsi="Times New Roman" w:eastAsia="Times New Roman" w:cs="Times New Roman"/>
                <w:snapToGrid w:val="0"/>
                <w:lang w:eastAsia="ru-RU"/>
              </w:rPr>
            </w:pP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r>
              <w:rPr>
                <w:rFonts w:ascii="Times New Roman" w:hAnsi="Times New Roman" w:eastAsia="Times New Roman"/>
                <w:spacing w:val="2"/>
                <w:sz w:val="24"/>
                <w:szCs w:val="24"/>
                <w:lang w:val="en-US" w:eastAsia="ru-RU"/>
              </w:rPr>
              <w:t xml:space="preserve">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 xml:space="preserve"> » августа</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13</w:t>
            </w:r>
            <w:r>
              <w:rPr>
                <w:rFonts w:ascii="Times New Roman" w:hAnsi="Times New Roman" w:eastAsia="Times New Roman" w:cs="Times New Roman"/>
                <w:highlight w:val="yellow"/>
                <w:lang w:eastAsia="ru-RU"/>
              </w:rPr>
              <w:t xml:space="preserve"> » сентября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сентября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 xml:space="preserve">» сентября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15 </w:t>
            </w:r>
            <w:r>
              <w:rPr>
                <w:rFonts w:ascii="Times New Roman" w:hAnsi="Times New Roman" w:eastAsia="Times New Roman" w:cs="Times New Roman"/>
                <w:highlight w:val="yellow"/>
                <w:lang w:eastAsia="ru-RU"/>
              </w:rPr>
              <w:t>» сентября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18 </w:t>
            </w:r>
            <w:r>
              <w:rPr>
                <w:rFonts w:ascii="Times New Roman" w:hAnsi="Times New Roman" w:eastAsia="Times New Roman" w:cs="Times New Roman"/>
                <w:highlight w:val="yellow"/>
                <w:lang w:eastAsia="ru-RU"/>
              </w:rPr>
              <w:t>»сентября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Toc123405470"/>
            <w:bookmarkEnd w:id="33"/>
            <w:bookmarkStart w:id="34" w:name="_Ref119429817"/>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w:t>
            </w:r>
            <w:r>
              <w:rPr>
                <w:rFonts w:ascii="Times New Roman" w:hAnsi="Times New Roman" w:eastAsia="Times New Roman" w:cs="Times New Roman"/>
                <w:highlight w:val="yellow"/>
                <w:lang w:eastAsia="ru-RU"/>
              </w:rPr>
              <w:t xml:space="preserve"> 1%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w:t>
            </w:r>
            <w:r>
              <w:rPr>
                <w:bCs/>
                <w:snapToGrid w:val="0"/>
                <w:lang w:val="ru-RU"/>
              </w:rPr>
              <w:t>4 784 ,5</w:t>
            </w:r>
            <w:r>
              <w:rPr>
                <w:bCs/>
                <w:snapToGrid w:val="0"/>
                <w:lang w:val="en-US"/>
              </w:rPr>
              <w:t>7</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руб</w:t>
            </w:r>
            <w:r>
              <w:rPr>
                <w:rFonts w:ascii="Times New Roman" w:hAnsi="Times New Roman" w:eastAsia="Times New Roman" w:cs="Times New Roman"/>
                <w:highlight w:val="yellow"/>
                <w:lang w:val="en-US"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233"/>
            <w:bookmarkEnd w:id="37"/>
            <w:bookmarkStart w:id="38" w:name="_Ref166315600"/>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w:t>
            </w:r>
            <w:r>
              <w:rPr>
                <w:rFonts w:ascii="Times New Roman" w:hAnsi="Times New Roman" w:eastAsia="Times New Roman" w:cs="Times New Roman"/>
                <w:lang w:val="en-US" w:eastAsia="ru-RU"/>
              </w:rPr>
              <w:t xml:space="preserve"> </w:t>
            </w:r>
            <w:r>
              <w:rPr>
                <w:bCs/>
                <w:snapToGrid w:val="0"/>
                <w:highlight w:val="yellow"/>
                <w:lang w:val="ru-RU"/>
              </w:rPr>
              <w:t>143 537,</w:t>
            </w:r>
            <w:r>
              <w:rPr>
                <w:bCs/>
                <w:snapToGrid w:val="0"/>
                <w:highlight w:val="yellow"/>
                <w:lang w:val="en-US"/>
              </w:rPr>
              <w:t>1</w:t>
            </w:r>
            <w:r>
              <w:rPr>
                <w:bCs/>
                <w:snapToGrid w:val="0"/>
                <w:highlight w:val="yellow"/>
                <w:lang w:val="ru-RU"/>
              </w:rPr>
              <w:t>0</w:t>
            </w:r>
            <w:r>
              <w:rPr>
                <w:rFonts w:ascii="Times New Roman" w:hAnsi="Times New Roman" w:eastAsia="Times New Roman" w:cs="Times New Roman"/>
                <w:highlight w:val="yellow"/>
                <w:lang w:val="en-US" w:eastAsia="ru-RU"/>
              </w:rPr>
              <w:t xml:space="preserve"> руб</w:t>
            </w:r>
            <w:r>
              <w:rPr>
                <w:rFonts w:ascii="Times New Roman" w:hAnsi="Times New Roman" w:eastAsia="Times New Roman" w:cs="Times New Roman"/>
                <w:b/>
                <w:highlight w:val="yellow"/>
                <w:lang w:eastAsia="ru-RU"/>
              </w:rPr>
              <w:t xml:space="preserve"> </w:t>
            </w:r>
            <w:r>
              <w:rPr>
                <w:rFonts w:ascii="Times New Roman" w:hAnsi="Times New Roman" w:eastAsia="Times New Roman" w:cs="Times New Roman"/>
                <w:b/>
                <w:lang w:val="en-US" w:eastAsia="ru-RU"/>
              </w:rPr>
              <w:t>.</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w:t>
            </w:r>
            <w:r>
              <w:rPr>
                <w:rFonts w:ascii="Times New Roman" w:hAnsi="Times New Roman" w:cs="Times New Roman"/>
                <w:lang w:val="ru-RU"/>
              </w:rPr>
              <w:t xml:space="preserve">Подрядчиком </w:t>
            </w:r>
            <w:r>
              <w:rPr>
                <w:rFonts w:ascii="Times New Roman" w:hAnsi="Times New Roman" w:cs="Times New Roman"/>
              </w:rPr>
              <w:t>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Подрядчик</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Подрядчик</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w:t>
            </w:r>
            <w:r>
              <w:rPr>
                <w:rFonts w:ascii="Times New Roman" w:hAnsi="Times New Roman" w:cs="Times New Roman"/>
                <w:lang w:val="ru-RU"/>
              </w:rPr>
              <w:t>Подрядчиком</w:t>
            </w:r>
            <w:r>
              <w:rPr>
                <w:rFonts w:ascii="Times New Roman" w:hAnsi="Times New Roman" w:cs="Times New Roman"/>
              </w:rPr>
              <w:t xml:space="preserve">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 бенефициаром в банковской гарантии должен быть указан Заказчик, принципалом – </w:t>
            </w:r>
            <w:r>
              <w:rPr>
                <w:rFonts w:ascii="Times New Roman" w:hAnsi="Times New Roman" w:cs="Times New Roman"/>
                <w:lang w:val="ru-RU"/>
              </w:rPr>
              <w:t>Подрядчик</w:t>
            </w:r>
            <w:r>
              <w:rPr>
                <w:rFonts w:ascii="Times New Roman" w:hAnsi="Times New Roman" w:cs="Times New Roman"/>
              </w:rPr>
              <w:t>,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D077323"/>
    <w:rsid w:val="29817C82"/>
    <w:rsid w:val="2D0A5A9F"/>
    <w:rsid w:val="3B4B7ECD"/>
    <w:rsid w:val="4AC74002"/>
    <w:rsid w:val="4E7C4FEA"/>
    <w:rsid w:val="65233090"/>
    <w:rsid w:val="6B2E4D47"/>
    <w:rsid w:val="6B6A3D4B"/>
    <w:rsid w:val="74337FB8"/>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12256</Words>
  <Characters>69861</Characters>
  <Lines>582</Lines>
  <Paragraphs>163</Paragraphs>
  <ScaleCrop>false</ScaleCrop>
  <LinksUpToDate>false</LinksUpToDate>
  <CharactersWithSpaces>81954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2017-09-25T13:11:13Z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