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2F96284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6382495F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217FC3B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на оказание услуг и (или) выполнение работ по капитальному ремонту общего имущества многоквартирных домов 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0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0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51DC3212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B6930">
        <w:rPr>
          <w:rFonts w:ascii="Times New Roman" w:hAnsi="Times New Roman"/>
          <w:bCs/>
          <w:sz w:val="24"/>
        </w:rPr>
        <w:t>12</w:t>
      </w:r>
      <w:r>
        <w:rPr>
          <w:rFonts w:ascii="Times New Roman" w:hAnsi="Times New Roman"/>
          <w:bCs/>
          <w:sz w:val="24"/>
        </w:rPr>
        <w:t xml:space="preserve">» </w:t>
      </w:r>
      <w:r w:rsidR="00AB693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7CD42137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AB6930">
        <w:rPr>
          <w:rFonts w:ascii="Times New Roman" w:hAnsi="Times New Roman"/>
          <w:bCs/>
          <w:sz w:val="24"/>
        </w:rPr>
        <w:t>19</w:t>
      </w:r>
      <w:r w:rsidRPr="004E2457">
        <w:rPr>
          <w:rFonts w:ascii="Times New Roman" w:hAnsi="Times New Roman"/>
          <w:bCs/>
          <w:sz w:val="24"/>
        </w:rPr>
        <w:t>»</w:t>
      </w:r>
      <w:r w:rsidR="00D6392C">
        <w:rPr>
          <w:rFonts w:ascii="Times New Roman" w:hAnsi="Times New Roman"/>
          <w:bCs/>
          <w:sz w:val="24"/>
        </w:rPr>
        <w:t xml:space="preserve"> </w:t>
      </w:r>
      <w:r w:rsidR="00AB693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2237E873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AB6930">
        <w:rPr>
          <w:rFonts w:ascii="Times New Roman" w:hAnsi="Times New Roman"/>
          <w:bCs/>
          <w:sz w:val="24"/>
        </w:rPr>
        <w:t>2</w:t>
      </w:r>
      <w:r w:rsidR="00D6392C">
        <w:rPr>
          <w:rFonts w:ascii="Times New Roman" w:hAnsi="Times New Roman"/>
          <w:bCs/>
          <w:sz w:val="24"/>
        </w:rPr>
        <w:t>2</w:t>
      </w:r>
      <w:r w:rsidRPr="00A770CF">
        <w:rPr>
          <w:rFonts w:ascii="Times New Roman" w:hAnsi="Times New Roman"/>
          <w:bCs/>
          <w:sz w:val="24"/>
        </w:rPr>
        <w:t xml:space="preserve">» </w:t>
      </w:r>
      <w:r w:rsidR="00AB6930">
        <w:rPr>
          <w:rFonts w:ascii="Times New Roman" w:hAnsi="Times New Roman"/>
          <w:bCs/>
          <w:sz w:val="24"/>
        </w:rPr>
        <w:t>марта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742885" w:rsidRPr="00742885" w14:paraId="0B4C8FF6" w14:textId="77777777" w:rsidTr="00634D1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9C0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066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36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742885" w:rsidRPr="00742885" w14:paraId="75AF2DB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8F3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7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8D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42885" w:rsidRPr="00742885" w14:paraId="5903E3E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A1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79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9C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742885" w:rsidRPr="00742885" w14:paraId="46B4AAFC" w14:textId="77777777" w:rsidTr="00634D1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B0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7D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F5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7E004AC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281FFE12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7428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2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7428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6E62CC3B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5F41EF83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7F8E6CFF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5F86EDF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76C21AC7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A4639" w14:textId="77777777" w:rsidR="00742885" w:rsidRPr="00742885" w:rsidRDefault="00195028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742885"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719FB203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28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4D46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266E542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2B60F1E9" w14:textId="77777777" w:rsidTr="00634D17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5E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FF9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916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742885" w:rsidRPr="00742885" w14:paraId="3915C73F" w14:textId="77777777" w:rsidTr="00634D17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73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57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837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742885" w:rsidRPr="00742885" w14:paraId="2E7BA426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2E2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2B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67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2088784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742885" w:rsidRPr="00742885" w14:paraId="00C16AD9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38B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F1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96D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0CC545CA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07130C09" w14:textId="7025B9BA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195028">
              <w:rPr>
                <w:rFonts w:ascii="Times New Roman" w:hAnsi="Times New Roman"/>
                <w:bCs/>
                <w:sz w:val="24"/>
              </w:rPr>
              <w:t>12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195028">
              <w:rPr>
                <w:rFonts w:ascii="Times New Roman" w:hAnsi="Times New Roman"/>
                <w:bCs/>
                <w:sz w:val="24"/>
              </w:rPr>
              <w:t>марта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742885" w:rsidRPr="00742885" w14:paraId="2A10761D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57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C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083" w14:textId="79A05E4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195028">
              <w:rPr>
                <w:rFonts w:ascii="Times New Roman" w:hAnsi="Times New Roman"/>
                <w:bCs/>
                <w:sz w:val="24"/>
              </w:rPr>
              <w:t>19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марта 2018 года 09 час. 40 мин.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742885" w:rsidRPr="00742885" w14:paraId="6953ABE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16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E5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319" w14:textId="3320DB2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195028">
              <w:rPr>
                <w:rFonts w:ascii="Times New Roman" w:hAnsi="Times New Roman"/>
                <w:bCs/>
                <w:sz w:val="24"/>
              </w:rPr>
              <w:t>22</w:t>
            </w:r>
            <w:bookmarkStart w:id="1" w:name="_GoBack"/>
            <w:bookmarkEnd w:id="1"/>
            <w:r w:rsidRPr="00742885">
              <w:rPr>
                <w:rFonts w:ascii="Times New Roman" w:hAnsi="Times New Roman"/>
                <w:bCs/>
                <w:sz w:val="24"/>
              </w:rPr>
              <w:t xml:space="preserve">» марта </w:t>
            </w: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36F17CF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742885" w:rsidRPr="00742885" w14:paraId="3CFB5C3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2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E7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4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742885" w:rsidRPr="00742885" w14:paraId="07FF15A3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12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8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8A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742885" w:rsidRPr="00742885" w14:paraId="1E1A70D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B5B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9A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F57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552B9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C770C2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4732340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9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C3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D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742885" w:rsidRPr="00742885" w14:paraId="7B954304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E7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22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7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6531F37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2DF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6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CC6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742885" w:rsidRPr="00742885" w14:paraId="0F9A6035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429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11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F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01725295"/>
            <w:r w:rsidRPr="00742885">
              <w:rPr>
                <w:rFonts w:ascii="Times New Roman" w:hAnsi="Times New Roman"/>
                <w:bCs/>
                <w:sz w:val="24"/>
              </w:rPr>
              <w:t>38 644 200,44 руб. (</w:t>
            </w:r>
            <w:bookmarkEnd w:id="2"/>
            <w:r w:rsidRPr="00742885">
              <w:rPr>
                <w:rFonts w:ascii="Times New Roman" w:hAnsi="Times New Roman"/>
                <w:bCs/>
                <w:sz w:val="24"/>
              </w:rPr>
              <w:t>Тридцать восемь миллионов шестьсот сорок четыре тысячи двести рублей 44 копейки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bookmarkStart w:id="3" w:name="_Hlk50146734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CB0397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742885" w:rsidRPr="00742885" w14:paraId="324445D8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50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B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A4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6F412C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885" w:rsidRPr="00742885" w14:paraId="69296D4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5D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F0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5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1727FBC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742885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742885">
              <w:rPr>
                <w:rFonts w:ascii="Times New Roman" w:hAnsi="Times New Roman"/>
                <w:bCs/>
                <w:sz w:val="24"/>
              </w:rPr>
              <w:t>)</w:t>
            </w:r>
            <w:r w:rsidRPr="00742885">
              <w:rPr>
                <w:rFonts w:ascii="Times New Roman" w:hAnsi="Times New Roman"/>
                <w:sz w:val="24"/>
              </w:rPr>
              <w:t>.</w:t>
            </w:r>
          </w:p>
          <w:p w14:paraId="73F3C0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742885" w:rsidRPr="00742885" w14:paraId="7B09E8F9" w14:textId="77777777" w:rsidTr="00634D1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F7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C8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E2FE96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5F1A499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742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11 593 260,13 руб. (Одиннадцать миллионов пятьсот девяносто три тысячи двести шестьдесят рублей 13 копеек).</w:t>
            </w:r>
          </w:p>
          <w:p w14:paraId="0E862E01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74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C9F91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209A5A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5C7DE7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6522970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742885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742885" w:rsidRPr="00742885" w14:paraId="3865E66F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1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78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24C" w14:textId="77777777" w:rsidR="00742885" w:rsidRPr="00742885" w:rsidRDefault="00742885" w:rsidP="00742885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742885" w:rsidRPr="00742885" w14:paraId="42B0BA62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E96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74C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16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742885" w:rsidRPr="00742885" w14:paraId="306ED351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3C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15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F7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742885" w:rsidRPr="00742885" w14:paraId="27FD4724" w14:textId="77777777" w:rsidTr="00634D1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EEA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B3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76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742885" w:rsidRPr="00742885" w14:paraId="116C1FE7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020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BA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6D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38C5477C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28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4270"/>
    <w:rsid w:val="00327D5A"/>
    <w:rsid w:val="003408F3"/>
    <w:rsid w:val="00342870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709F"/>
    <w:rsid w:val="00656662"/>
    <w:rsid w:val="00663769"/>
    <w:rsid w:val="006664A2"/>
    <w:rsid w:val="0067018D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85777"/>
    <w:rsid w:val="00A921F4"/>
    <w:rsid w:val="00AB6930"/>
    <w:rsid w:val="00AF43E9"/>
    <w:rsid w:val="00B0278B"/>
    <w:rsid w:val="00B90321"/>
    <w:rsid w:val="00BD0B79"/>
    <w:rsid w:val="00BE5FC2"/>
    <w:rsid w:val="00C010CA"/>
    <w:rsid w:val="00C46DE7"/>
    <w:rsid w:val="00C5224E"/>
    <w:rsid w:val="00C811E1"/>
    <w:rsid w:val="00C83A80"/>
    <w:rsid w:val="00C974AE"/>
    <w:rsid w:val="00CA122A"/>
    <w:rsid w:val="00CB72BD"/>
    <w:rsid w:val="00D11BB7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FAE9-6E60-4E0E-B0FE-7173E47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6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Самойлюк Лия Кузьминична</cp:lastModifiedBy>
  <cp:revision>103</cp:revision>
  <cp:lastPrinted>2018-02-15T12:45:00Z</cp:lastPrinted>
  <dcterms:created xsi:type="dcterms:W3CDTF">2016-12-07T07:14:00Z</dcterms:created>
  <dcterms:modified xsi:type="dcterms:W3CDTF">2018-02-15T12:56:00Z</dcterms:modified>
</cp:coreProperties>
</file>