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ABA" w:rsidRDefault="00FC0ABA" w:rsidP="00FC0ABA">
      <w:pPr>
        <w:tabs>
          <w:tab w:val="left" w:pos="0"/>
        </w:tabs>
        <w:suppressAutoHyphens/>
        <w:spacing w:line="259" w:lineRule="auto"/>
        <w:ind w:firstLine="0"/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AA11C1">
        <w:rPr>
          <w:rFonts w:eastAsia="Calibri"/>
          <w:color w:val="auto"/>
          <w:sz w:val="24"/>
          <w:szCs w:val="24"/>
          <w:lang w:eastAsia="en-US"/>
        </w:rPr>
        <w:t xml:space="preserve">Приложение № </w:t>
      </w:r>
      <w:r>
        <w:rPr>
          <w:rFonts w:eastAsia="Calibri"/>
          <w:color w:val="auto"/>
          <w:sz w:val="24"/>
          <w:szCs w:val="24"/>
          <w:lang w:eastAsia="en-US"/>
        </w:rPr>
        <w:t>2</w:t>
      </w:r>
      <w:r w:rsidRPr="00AA11C1">
        <w:rPr>
          <w:rFonts w:eastAsia="Calibri"/>
          <w:color w:val="auto"/>
          <w:sz w:val="24"/>
          <w:szCs w:val="24"/>
          <w:lang w:eastAsia="en-US"/>
        </w:rPr>
        <w:t xml:space="preserve"> к Техническому заданию</w:t>
      </w:r>
    </w:p>
    <w:p w:rsidR="00FC0ABA" w:rsidRDefault="00FC0ABA" w:rsidP="00FC0ABA">
      <w:pPr>
        <w:tabs>
          <w:tab w:val="left" w:pos="0"/>
        </w:tabs>
        <w:suppressAutoHyphens/>
        <w:spacing w:line="259" w:lineRule="auto"/>
        <w:ind w:firstLine="0"/>
        <w:jc w:val="right"/>
        <w:rPr>
          <w:rFonts w:eastAsia="Calibri"/>
          <w:color w:val="auto"/>
          <w:sz w:val="24"/>
          <w:szCs w:val="24"/>
        </w:rPr>
      </w:pPr>
    </w:p>
    <w:p w:rsidR="00FC0ABA" w:rsidRDefault="00FC0ABA" w:rsidP="00FC0ABA">
      <w:pPr>
        <w:tabs>
          <w:tab w:val="left" w:pos="0"/>
        </w:tabs>
        <w:suppressAutoHyphens/>
        <w:spacing w:line="259" w:lineRule="auto"/>
        <w:ind w:firstLine="0"/>
        <w:jc w:val="center"/>
        <w:rPr>
          <w:rFonts w:eastAsia="Calibri"/>
          <w:color w:val="auto"/>
          <w:sz w:val="24"/>
          <w:szCs w:val="24"/>
        </w:rPr>
      </w:pPr>
      <w:proofErr w:type="gramStart"/>
      <w:r w:rsidRPr="004C39E3">
        <w:rPr>
          <w:rFonts w:eastAsia="Calibri"/>
          <w:color w:val="auto"/>
          <w:sz w:val="24"/>
          <w:szCs w:val="24"/>
        </w:rPr>
        <w:t>Характеристика  основного</w:t>
      </w:r>
      <w:proofErr w:type="gramEnd"/>
      <w:r w:rsidRPr="004C39E3">
        <w:rPr>
          <w:rFonts w:eastAsia="Calibri"/>
          <w:color w:val="auto"/>
          <w:sz w:val="24"/>
          <w:szCs w:val="24"/>
        </w:rPr>
        <w:t xml:space="preserve"> оборудования и материалов</w:t>
      </w:r>
    </w:p>
    <w:p w:rsidR="001F16F1" w:rsidRDefault="001F16F1" w:rsidP="001F16F1">
      <w:pPr>
        <w:widowControl w:val="0"/>
        <w:suppressAutoHyphens/>
        <w:ind w:firstLine="724"/>
        <w:jc w:val="both"/>
        <w:rPr>
          <w:rFonts w:eastAsia="Courier New"/>
          <w:color w:val="000000"/>
          <w:sz w:val="24"/>
          <w:szCs w:val="24"/>
        </w:rPr>
      </w:pPr>
    </w:p>
    <w:p w:rsidR="001F16F1" w:rsidRPr="001F16F1" w:rsidRDefault="001F16F1" w:rsidP="001F16F1">
      <w:pPr>
        <w:widowControl w:val="0"/>
        <w:suppressAutoHyphens/>
        <w:ind w:firstLine="724"/>
        <w:jc w:val="both"/>
        <w:rPr>
          <w:rFonts w:eastAsia="Courier New"/>
          <w:color w:val="000000"/>
          <w:sz w:val="24"/>
          <w:szCs w:val="24"/>
        </w:rPr>
      </w:pPr>
      <w:r w:rsidRPr="001F16F1">
        <w:rPr>
          <w:rFonts w:eastAsia="Courier New"/>
          <w:color w:val="000000"/>
          <w:sz w:val="24"/>
          <w:szCs w:val="24"/>
        </w:rPr>
        <w:t>Оборудование и комплектующие должны быть новыми, имеющими зарегистрированные торговые марки, не бывшими в употреблении, свободные от прав третьих лиц, не находившимся в эксплуатации поставщика и (или) третьих лиц, быть не подвергавшимся ранее ремонту, модернизации или восстановлению.</w:t>
      </w:r>
      <w:r w:rsidRPr="001F16F1">
        <w:t xml:space="preserve"> </w:t>
      </w:r>
      <w:r w:rsidRPr="001F16F1">
        <w:rPr>
          <w:rFonts w:eastAsia="Courier New"/>
          <w:color w:val="000000"/>
          <w:sz w:val="24"/>
          <w:szCs w:val="24"/>
        </w:rPr>
        <w:t>Используемые при производстве реконструкции материалы (комплектующие и оборудование) должны соответствовать государственным стандартам и техническим условиям: ГОСТ 8267-93, ГОСТ 8736-2014, ГОСТ 8735-88, ГОСТ 7473-2010, ГОСТ 10178-85, ГОСТ 535-2005, ГОСТ 14918-80, ГОСТ 1146-80, ГОСТ 17474-80, ГОСТ 7798-70, ГОСТ 7805-70, ГОСТ 5927-70, ГОСТ 5915-70, ГОСТ 5781-82, ГОСТ 5089-2011, ГОСТ 10503-71, ГОСТ 1145-80, ГОСТ 1050-2013, ГОСТ 8509-93.</w:t>
      </w:r>
    </w:p>
    <w:p w:rsidR="00FC0ABA" w:rsidRPr="000621B3" w:rsidRDefault="00FC0ABA" w:rsidP="00FC0ABA">
      <w:pPr>
        <w:tabs>
          <w:tab w:val="left" w:pos="0"/>
        </w:tabs>
        <w:suppressAutoHyphens/>
        <w:spacing w:line="259" w:lineRule="auto"/>
        <w:ind w:firstLine="0"/>
        <w:rPr>
          <w:rFonts w:eastAsia="Calibri"/>
          <w:color w:val="auto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5948"/>
      </w:tblGrid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Назначение лифта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Пассажирский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Высота подъема, м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Согласно параметрам существующего здания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Высота верхнего этажа, мм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Согласно параметрам существующего здания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Грузоподъемность, кг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3F4F38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 xml:space="preserve">Согласно </w:t>
            </w:r>
            <w:r w:rsidR="003F4F38" w:rsidRPr="000621B3">
              <w:rPr>
                <w:rFonts w:eastAsia="Calibri"/>
                <w:color w:val="auto"/>
                <w:sz w:val="24"/>
                <w:szCs w:val="24"/>
              </w:rPr>
              <w:t xml:space="preserve">параметрам </w:t>
            </w:r>
            <w:r w:rsidRPr="000621B3">
              <w:rPr>
                <w:rFonts w:eastAsia="Calibri"/>
                <w:color w:val="auto"/>
                <w:sz w:val="24"/>
                <w:szCs w:val="24"/>
              </w:rPr>
              <w:t>существующего здания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Скорость, м/с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B038BB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Не менее 1 м/с (согласно проекту)</w:t>
            </w:r>
          </w:p>
        </w:tc>
      </w:tr>
      <w:tr w:rsidR="003F4F38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38" w:rsidRPr="000621B3" w:rsidRDefault="003F4F38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 xml:space="preserve">Класс </w:t>
            </w:r>
            <w:proofErr w:type="spellStart"/>
            <w:r>
              <w:rPr>
                <w:rFonts w:eastAsia="Calibri"/>
                <w:color w:val="auto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38" w:rsidRPr="000621B3" w:rsidRDefault="003F4F38" w:rsidP="003F4F38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Не менее «В»</w:t>
            </w:r>
          </w:p>
        </w:tc>
      </w:tr>
      <w:tr w:rsidR="003F4F38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38" w:rsidRDefault="003F4F38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38" w:rsidRDefault="003F4F38" w:rsidP="003F4F38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3F4F38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 xml:space="preserve">Количество остановок/этажных дверей </w:t>
            </w:r>
            <w:r w:rsidR="003F4F38">
              <w:rPr>
                <w:rFonts w:eastAsia="Calibri"/>
                <w:color w:val="auto"/>
                <w:sz w:val="24"/>
                <w:szCs w:val="24"/>
              </w:rPr>
              <w:t>(</w:t>
            </w:r>
            <w:r w:rsidRPr="000621B3">
              <w:rPr>
                <w:rFonts w:eastAsia="Calibri"/>
                <w:color w:val="auto"/>
                <w:sz w:val="24"/>
                <w:szCs w:val="24"/>
              </w:rPr>
              <w:t>шт./шт.</w:t>
            </w:r>
            <w:r w:rsidR="003F4F38">
              <w:rPr>
                <w:rFonts w:eastAsia="Calibri"/>
                <w:color w:val="auto"/>
                <w:sz w:val="24"/>
                <w:szCs w:val="24"/>
              </w:rPr>
              <w:t>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3F4F38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Согласно параметрам существующего здания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Тип кабины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3F4F38" w:rsidP="003F4F38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3F4F38">
              <w:rPr>
                <w:rFonts w:eastAsia="Calibri"/>
                <w:color w:val="auto"/>
                <w:sz w:val="24"/>
                <w:szCs w:val="24"/>
              </w:rPr>
              <w:t>Согласно параметрам существующего здания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Основной посадочный этаж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1 (Первый)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Размер кабины Ш х Г х В, мм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Размер кабины Ш х Г х В, мм: площадь пола кабины в соответствии с проектной документации.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Двери кабины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- тип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- размер дверного проема, мм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Автоматические, наличие фотоэлемента и реверса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Размер дверного проема: в соответствии с проектной документации.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Купе кабины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 xml:space="preserve">Встроенное световое табло, интерком, зеркало, с поручнем, исполнение кнопок приказа - шрифт Брайля, порошковая эмаль. 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Освещение купе кабины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Светодиодное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Покрытие пола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DE2CBD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Износостойкий линолеум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Двери шахты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- тип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- проем Ш*В, мм</w:t>
            </w:r>
          </w:p>
          <w:p w:rsidR="00DE2CBD" w:rsidRDefault="00DE2CBD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- отделка</w:t>
            </w:r>
          </w:p>
          <w:p w:rsidR="00DE2CBD" w:rsidRDefault="00DE2CBD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- огнестойкость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BB" w:rsidRDefault="00B038BB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Автоматические противопожарные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Проем Ш*В, мм: в соответствии с проектной документации.</w:t>
            </w:r>
          </w:p>
          <w:p w:rsidR="00FC0ABA" w:rsidRPr="00DE2CBD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  <w:lang w:val="en-US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Окраска порошковой эмалью, устойчивой к механическим повреждениям</w:t>
            </w:r>
            <w:r w:rsidR="00DE2CBD" w:rsidRPr="00DE2CBD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 xml:space="preserve">Федеральный закон от 22.07.2008 № 123-ФЗ 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Обрамление дверей шахты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DE2CBD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Окраска порошковой эмалью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Вызывные посты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Согласно проекту производителя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Табло (указатель этажей)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 xml:space="preserve">Установка на основном посадочном этаже с индикатором нахождения кабины лифта, в кабине </w:t>
            </w:r>
            <w:r w:rsidRPr="000621B3">
              <w:rPr>
                <w:rFonts w:eastAsia="Calibri"/>
                <w:color w:val="auto"/>
                <w:sz w:val="24"/>
                <w:szCs w:val="24"/>
              </w:rPr>
              <w:lastRenderedPageBreak/>
              <w:t>лифта табло со световой индикацией о местонахождении и направлении движения кабины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lastRenderedPageBreak/>
              <w:t>Система управления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- тип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- вид управления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BD" w:rsidRDefault="00DE2CBD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0621B3">
              <w:rPr>
                <w:rFonts w:eastAsia="Calibri"/>
                <w:color w:val="auto"/>
                <w:sz w:val="24"/>
                <w:szCs w:val="24"/>
              </w:rPr>
              <w:t>Микропроцессорная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Смешанным собират</w:t>
            </w:r>
            <w:r w:rsidR="00B038BB">
              <w:rPr>
                <w:rFonts w:eastAsia="Calibri"/>
                <w:color w:val="auto"/>
                <w:sz w:val="24"/>
                <w:szCs w:val="24"/>
              </w:rPr>
              <w:t>ельным при движении кабины вниз</w:t>
            </w:r>
            <w:r w:rsidRPr="000621B3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Система привода/механизм - тип привода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Электрическая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Наличие машинного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помещения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 xml:space="preserve">Согласно параметрам существующего здания 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Размеры шахты   Ш х Г</w:t>
            </w:r>
          </w:p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(внутренние размеры) мм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Согласно параметрам существующего здания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Тип шахты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Согласно параметрам существующего здания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Глубина приямка, мм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Согласно параметрам существующего здания</w:t>
            </w:r>
          </w:p>
        </w:tc>
      </w:tr>
      <w:tr w:rsidR="00FC0ABA" w:rsidRPr="000621B3" w:rsidTr="00B038B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Частотный преобразователь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ABA" w:rsidRPr="000621B3" w:rsidRDefault="00FC0ABA" w:rsidP="002B6DB5">
            <w:pPr>
              <w:tabs>
                <w:tab w:val="left" w:pos="0"/>
              </w:tabs>
              <w:suppressAutoHyphens/>
              <w:spacing w:line="259" w:lineRule="auto"/>
              <w:ind w:firstLine="0"/>
              <w:rPr>
                <w:rFonts w:eastAsia="Calibri"/>
                <w:color w:val="auto"/>
                <w:sz w:val="24"/>
                <w:szCs w:val="24"/>
              </w:rPr>
            </w:pPr>
            <w:r w:rsidRPr="000621B3">
              <w:rPr>
                <w:rFonts w:eastAsia="Calibri"/>
                <w:color w:val="auto"/>
                <w:sz w:val="24"/>
                <w:szCs w:val="24"/>
              </w:rPr>
              <w:t>Оснащение главного привода и привода дверей лифта</w:t>
            </w:r>
          </w:p>
        </w:tc>
      </w:tr>
    </w:tbl>
    <w:p w:rsidR="00FC0ABA" w:rsidRPr="000621B3" w:rsidRDefault="00FC0ABA" w:rsidP="00FC0ABA">
      <w:pPr>
        <w:tabs>
          <w:tab w:val="left" w:pos="0"/>
        </w:tabs>
        <w:suppressAutoHyphens/>
        <w:spacing w:line="259" w:lineRule="auto"/>
        <w:ind w:firstLine="0"/>
        <w:rPr>
          <w:rFonts w:eastAsia="Calibri"/>
          <w:color w:val="auto"/>
          <w:sz w:val="24"/>
          <w:szCs w:val="24"/>
        </w:rPr>
      </w:pPr>
    </w:p>
    <w:p w:rsidR="00FC0ABA" w:rsidRPr="000A6B91" w:rsidRDefault="00FC0ABA" w:rsidP="00FC0ABA">
      <w:pPr>
        <w:tabs>
          <w:tab w:val="left" w:pos="0"/>
        </w:tabs>
        <w:suppressAutoHyphens/>
        <w:spacing w:line="259" w:lineRule="auto"/>
        <w:ind w:firstLine="0"/>
        <w:rPr>
          <w:rFonts w:eastAsia="Calibri"/>
          <w:color w:val="auto"/>
          <w:sz w:val="24"/>
          <w:szCs w:val="24"/>
          <w:lang w:eastAsia="en-US"/>
        </w:rPr>
      </w:pPr>
    </w:p>
    <w:p w:rsidR="00B038BB" w:rsidRDefault="00B038BB" w:rsidP="00B038BB">
      <w:pPr>
        <w:spacing w:after="13"/>
        <w:ind w:left="939" w:right="165"/>
        <w:rPr>
          <w:sz w:val="22"/>
        </w:rPr>
      </w:pPr>
      <w:r w:rsidRPr="005A1113">
        <w:rPr>
          <w:sz w:val="22"/>
        </w:rPr>
        <w:t>Основные т</w:t>
      </w:r>
      <w:r w:rsidRPr="00B038BB">
        <w:rPr>
          <w:sz w:val="22"/>
        </w:rPr>
        <w:t>р</w:t>
      </w:r>
      <w:r w:rsidRPr="005A1113">
        <w:rPr>
          <w:sz w:val="22"/>
        </w:rPr>
        <w:t>ебования к ст</w:t>
      </w:r>
      <w:r w:rsidRPr="00B038BB">
        <w:rPr>
          <w:sz w:val="22"/>
        </w:rPr>
        <w:t>р</w:t>
      </w:r>
      <w:r w:rsidRPr="005A1113">
        <w:rPr>
          <w:sz w:val="22"/>
        </w:rPr>
        <w:t>оительным мате</w:t>
      </w:r>
      <w:r w:rsidRPr="00B038BB">
        <w:rPr>
          <w:sz w:val="22"/>
        </w:rPr>
        <w:t>р</w:t>
      </w:r>
      <w:r w:rsidRPr="005A1113">
        <w:rPr>
          <w:sz w:val="22"/>
        </w:rPr>
        <w:t>иалам и изделиям</w:t>
      </w:r>
    </w:p>
    <w:p w:rsidR="00B038BB" w:rsidRPr="005A1113" w:rsidRDefault="00B038BB" w:rsidP="00B038BB">
      <w:pPr>
        <w:spacing w:after="13"/>
        <w:ind w:left="939" w:right="165"/>
      </w:pPr>
    </w:p>
    <w:tbl>
      <w:tblPr>
        <w:tblW w:w="9555" w:type="dxa"/>
        <w:tblInd w:w="-3" w:type="dxa"/>
        <w:tblCellMar>
          <w:top w:w="41" w:type="dxa"/>
          <w:left w:w="103" w:type="dxa"/>
          <w:right w:w="134" w:type="dxa"/>
        </w:tblCellMar>
        <w:tblLook w:val="04A0" w:firstRow="1" w:lastRow="0" w:firstColumn="1" w:lastColumn="0" w:noHBand="0" w:noVBand="1"/>
      </w:tblPr>
      <w:tblGrid>
        <w:gridCol w:w="4904"/>
        <w:gridCol w:w="4651"/>
      </w:tblGrid>
      <w:tr w:rsidR="00B038BB" w:rsidTr="00B038BB">
        <w:trPr>
          <w:trHeight w:val="468"/>
        </w:trPr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573020">
            <w:pPr>
              <w:spacing w:line="259" w:lineRule="auto"/>
              <w:ind w:left="14" w:hanging="7"/>
              <w:rPr>
                <w:sz w:val="22"/>
              </w:rPr>
            </w:pPr>
            <w:r w:rsidRPr="005A1113">
              <w:rPr>
                <w:sz w:val="22"/>
              </w:rPr>
              <w:t>Провода и кабели электроосвещения машинных помещений и лифтовых шахт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E839C6" w:rsidRDefault="00B038BB" w:rsidP="00573020">
            <w:pPr>
              <w:spacing w:line="259" w:lineRule="auto"/>
              <w:ind w:firstLine="0"/>
              <w:rPr>
                <w:sz w:val="22"/>
              </w:rPr>
            </w:pPr>
            <w:r w:rsidRPr="00E839C6">
              <w:rPr>
                <w:sz w:val="22"/>
              </w:rPr>
              <w:t>Проводник: медь</w:t>
            </w:r>
          </w:p>
        </w:tc>
      </w:tr>
      <w:tr w:rsidR="00B038BB" w:rsidTr="00B038BB">
        <w:trPr>
          <w:trHeight w:val="468"/>
        </w:trPr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B038BB">
            <w:pPr>
              <w:spacing w:line="259" w:lineRule="auto"/>
              <w:ind w:firstLine="7"/>
              <w:rPr>
                <w:sz w:val="22"/>
              </w:rPr>
            </w:pPr>
            <w:r w:rsidRPr="005A1113">
              <w:rPr>
                <w:sz w:val="22"/>
              </w:rPr>
              <w:t>Осветительные приборы машинных помещений и ли</w:t>
            </w:r>
            <w:r w:rsidRPr="00B038BB">
              <w:rPr>
                <w:sz w:val="22"/>
              </w:rPr>
              <w:t>ф</w:t>
            </w:r>
            <w:r w:rsidRPr="005A1113">
              <w:rPr>
                <w:sz w:val="22"/>
              </w:rPr>
              <w:t>товых шахт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E839C6" w:rsidRDefault="00B038BB" w:rsidP="00573020">
            <w:pPr>
              <w:spacing w:line="259" w:lineRule="auto"/>
              <w:ind w:left="7" w:firstLine="0"/>
              <w:rPr>
                <w:sz w:val="22"/>
              </w:rPr>
            </w:pPr>
            <w:r w:rsidRPr="00E839C6">
              <w:rPr>
                <w:sz w:val="22"/>
              </w:rPr>
              <w:t>Тип осветительных ламп: светодиодные</w:t>
            </w:r>
          </w:p>
        </w:tc>
      </w:tr>
      <w:tr w:rsidR="00B038BB" w:rsidRPr="005A1113" w:rsidTr="00B038BB">
        <w:trPr>
          <w:trHeight w:val="936"/>
        </w:trPr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573020">
            <w:pPr>
              <w:spacing w:line="259" w:lineRule="auto"/>
              <w:ind w:left="7" w:right="418" w:firstLine="7"/>
              <w:rPr>
                <w:sz w:val="22"/>
              </w:rPr>
            </w:pPr>
            <w:r w:rsidRPr="005A1113">
              <w:rPr>
                <w:sz w:val="22"/>
              </w:rPr>
              <w:t>Оконные блоки в машинном помещении (при их наличии)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573020">
            <w:pPr>
              <w:spacing w:line="259" w:lineRule="auto"/>
              <w:ind w:left="7" w:firstLine="0"/>
              <w:rPr>
                <w:sz w:val="22"/>
              </w:rPr>
            </w:pPr>
            <w:r w:rsidRPr="005A1113">
              <w:rPr>
                <w:sz w:val="22"/>
              </w:rPr>
              <w:t>ПВХ профиль: не менее 3-х камер;</w:t>
            </w:r>
          </w:p>
          <w:p w:rsidR="00B038BB" w:rsidRPr="005A1113" w:rsidRDefault="00B038BB" w:rsidP="00573020">
            <w:pPr>
              <w:spacing w:line="259" w:lineRule="auto"/>
              <w:ind w:left="7" w:firstLine="0"/>
              <w:rPr>
                <w:sz w:val="22"/>
              </w:rPr>
            </w:pPr>
            <w:r w:rsidRPr="005A1113">
              <w:rPr>
                <w:sz w:val="22"/>
              </w:rPr>
              <w:t>Стеклопакет 2-камерный.</w:t>
            </w:r>
          </w:p>
          <w:p w:rsidR="00B038BB" w:rsidRPr="005A1113" w:rsidRDefault="00B038BB" w:rsidP="00573020">
            <w:pPr>
              <w:spacing w:line="259" w:lineRule="auto"/>
              <w:ind w:left="7" w:firstLine="7"/>
              <w:rPr>
                <w:sz w:val="22"/>
              </w:rPr>
            </w:pPr>
            <w:r w:rsidRPr="005A1113">
              <w:rPr>
                <w:sz w:val="22"/>
              </w:rPr>
              <w:t xml:space="preserve">Соответствие характеристик изделия данному климатическом </w:t>
            </w:r>
            <w:r w:rsidRPr="00B038BB">
              <w:rPr>
                <w:sz w:val="22"/>
              </w:rPr>
              <w:t>р</w:t>
            </w:r>
            <w:r w:rsidRPr="005A1113">
              <w:rPr>
                <w:sz w:val="22"/>
              </w:rPr>
              <w:t>айону</w:t>
            </w:r>
          </w:p>
        </w:tc>
      </w:tr>
      <w:tr w:rsidR="00B038BB" w:rsidTr="00B038BB">
        <w:trPr>
          <w:trHeight w:val="238"/>
        </w:trPr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E839C6" w:rsidRDefault="00B038BB" w:rsidP="00573020">
            <w:pPr>
              <w:spacing w:line="259" w:lineRule="auto"/>
              <w:ind w:left="14" w:firstLine="0"/>
              <w:rPr>
                <w:sz w:val="22"/>
              </w:rPr>
            </w:pPr>
            <w:r w:rsidRPr="00E839C6">
              <w:rPr>
                <w:sz w:val="22"/>
              </w:rPr>
              <w:t>Окраска потолка машинных помещений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E839C6" w:rsidRDefault="00B038BB" w:rsidP="00B038BB">
            <w:pPr>
              <w:spacing w:line="259" w:lineRule="auto"/>
              <w:ind w:left="7" w:firstLine="0"/>
              <w:rPr>
                <w:sz w:val="22"/>
              </w:rPr>
            </w:pPr>
            <w:r w:rsidRPr="00E839C6">
              <w:rPr>
                <w:sz w:val="22"/>
              </w:rPr>
              <w:t>К</w:t>
            </w:r>
            <w:r>
              <w:rPr>
                <w:sz w:val="22"/>
                <w:lang w:val="en-US"/>
              </w:rPr>
              <w:t>р</w:t>
            </w:r>
            <w:proofErr w:type="spellStart"/>
            <w:r w:rsidRPr="00E839C6">
              <w:rPr>
                <w:sz w:val="22"/>
              </w:rPr>
              <w:t>аска</w:t>
            </w:r>
            <w:proofErr w:type="spellEnd"/>
            <w:r w:rsidRPr="00E839C6">
              <w:rPr>
                <w:sz w:val="22"/>
              </w:rPr>
              <w:t xml:space="preserve"> водоэмульсионная</w:t>
            </w:r>
          </w:p>
        </w:tc>
      </w:tr>
      <w:tr w:rsidR="00B038BB" w:rsidTr="00B038BB">
        <w:trPr>
          <w:trHeight w:val="245"/>
        </w:trPr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573020">
            <w:pPr>
              <w:spacing w:line="259" w:lineRule="auto"/>
              <w:ind w:left="14" w:firstLine="0"/>
              <w:rPr>
                <w:sz w:val="22"/>
              </w:rPr>
            </w:pPr>
            <w:r w:rsidRPr="005A1113">
              <w:rPr>
                <w:sz w:val="22"/>
              </w:rPr>
              <w:t>Окраска пола и стен машинных помещений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E839C6" w:rsidRDefault="00B038BB" w:rsidP="00573020">
            <w:pPr>
              <w:spacing w:line="259" w:lineRule="auto"/>
              <w:ind w:left="7" w:firstLine="0"/>
              <w:rPr>
                <w:sz w:val="22"/>
              </w:rPr>
            </w:pPr>
            <w:r w:rsidRPr="00E839C6">
              <w:rPr>
                <w:sz w:val="22"/>
              </w:rPr>
              <w:t>Краска масляная или алкидная</w:t>
            </w:r>
          </w:p>
        </w:tc>
      </w:tr>
      <w:tr w:rsidR="00B038BB" w:rsidTr="00B038BB">
        <w:trPr>
          <w:trHeight w:val="1162"/>
        </w:trPr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573020">
            <w:pPr>
              <w:spacing w:line="259" w:lineRule="auto"/>
              <w:ind w:left="14" w:hanging="7"/>
              <w:rPr>
                <w:sz w:val="22"/>
              </w:rPr>
            </w:pPr>
            <w:r w:rsidRPr="005A1113">
              <w:rPr>
                <w:sz w:val="22"/>
              </w:rPr>
              <w:t>Окраска балок, огра</w:t>
            </w:r>
            <w:r>
              <w:rPr>
                <w:sz w:val="22"/>
              </w:rPr>
              <w:t>ждений механизмов и опасных зон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573020">
            <w:pPr>
              <w:spacing w:line="239" w:lineRule="auto"/>
              <w:ind w:left="14" w:right="245" w:hanging="7"/>
              <w:rPr>
                <w:sz w:val="22"/>
              </w:rPr>
            </w:pPr>
            <w:r w:rsidRPr="005A1113">
              <w:rPr>
                <w:sz w:val="22"/>
              </w:rPr>
              <w:t>Краска масляная или алкидная, цвет в соответствии с ГОСТ Р 12.4.026-2001 «ЦВЕТА СИГНАЛЬНЫЕ, ЗНАКИ</w:t>
            </w:r>
          </w:p>
          <w:p w:rsidR="00B038BB" w:rsidRPr="00E839C6" w:rsidRDefault="00B038BB" w:rsidP="00573020">
            <w:pPr>
              <w:spacing w:line="259" w:lineRule="auto"/>
              <w:ind w:left="14" w:hanging="7"/>
              <w:rPr>
                <w:sz w:val="22"/>
              </w:rPr>
            </w:pPr>
            <w:r w:rsidRPr="00E839C6">
              <w:rPr>
                <w:sz w:val="22"/>
              </w:rPr>
              <w:t>БЕЗОПАСНОСТИ И РАЗМЕТКА СИГНАЛЬНАЯ»</w:t>
            </w:r>
          </w:p>
        </w:tc>
      </w:tr>
      <w:tr w:rsidR="00B038BB" w:rsidRPr="005A1113" w:rsidTr="00B038BB">
        <w:trPr>
          <w:trHeight w:val="473"/>
        </w:trPr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B038BB">
            <w:pPr>
              <w:spacing w:line="259" w:lineRule="auto"/>
              <w:ind w:left="14" w:hanging="7"/>
              <w:rPr>
                <w:sz w:val="22"/>
              </w:rPr>
            </w:pPr>
            <w:r w:rsidRPr="005A1113">
              <w:rPr>
                <w:sz w:val="22"/>
              </w:rPr>
              <w:t>Антикоррозийная защита металлических изделий машинного помещения и ли</w:t>
            </w:r>
            <w:r w:rsidRPr="00B038BB">
              <w:rPr>
                <w:sz w:val="22"/>
              </w:rPr>
              <w:t>ф</w:t>
            </w:r>
            <w:r w:rsidRPr="005A1113">
              <w:rPr>
                <w:sz w:val="22"/>
              </w:rPr>
              <w:t>товой шахты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573020">
            <w:pPr>
              <w:spacing w:line="259" w:lineRule="auto"/>
              <w:ind w:left="14" w:firstLine="0"/>
              <w:rPr>
                <w:sz w:val="22"/>
              </w:rPr>
            </w:pPr>
            <w:r w:rsidRPr="005A1113">
              <w:rPr>
                <w:sz w:val="22"/>
              </w:rPr>
              <w:t>Окраска по грунту в соответствии с СП и СНиП</w:t>
            </w:r>
          </w:p>
        </w:tc>
      </w:tr>
      <w:tr w:rsidR="00B038BB" w:rsidRPr="005A1113" w:rsidTr="00B038BB">
        <w:trPr>
          <w:trHeight w:val="245"/>
        </w:trPr>
        <w:tc>
          <w:tcPr>
            <w:tcW w:w="4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E839C6" w:rsidRDefault="00B038BB" w:rsidP="00B038BB">
            <w:pPr>
              <w:spacing w:line="259" w:lineRule="auto"/>
              <w:ind w:left="22" w:firstLine="0"/>
              <w:rPr>
                <w:sz w:val="22"/>
              </w:rPr>
            </w:pPr>
            <w:r w:rsidRPr="00E839C6">
              <w:rPr>
                <w:sz w:val="22"/>
              </w:rPr>
              <w:t>Дверь в машинное по</w:t>
            </w:r>
            <w:r>
              <w:rPr>
                <w:sz w:val="22"/>
                <w:lang w:val="en-US"/>
              </w:rPr>
              <w:t>м</w:t>
            </w:r>
            <w:proofErr w:type="spellStart"/>
            <w:r w:rsidRPr="00E839C6">
              <w:rPr>
                <w:sz w:val="22"/>
              </w:rPr>
              <w:t>ещение</w:t>
            </w:r>
            <w:proofErr w:type="spellEnd"/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38BB" w:rsidRPr="005A1113" w:rsidRDefault="00B038BB" w:rsidP="00573020">
            <w:pPr>
              <w:spacing w:line="259" w:lineRule="auto"/>
              <w:ind w:left="14" w:firstLine="0"/>
              <w:rPr>
                <w:sz w:val="22"/>
              </w:rPr>
            </w:pPr>
            <w:r w:rsidRPr="005A1113">
              <w:rPr>
                <w:sz w:val="22"/>
              </w:rPr>
              <w:t>Класс огнестойкости не менее Е 60</w:t>
            </w:r>
          </w:p>
        </w:tc>
      </w:tr>
    </w:tbl>
    <w:p w:rsidR="00CD259C" w:rsidRDefault="00CD259C"/>
    <w:sectPr w:rsidR="00CD25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37" w:right="849" w:bottom="907" w:left="1701" w:header="0" w:footer="850" w:gutter="0"/>
      <w:pgNumType w:start="1"/>
      <w:cols w:space="720"/>
      <w:formProt w:val="0"/>
      <w:docGrid w:linePitch="360" w:charSpace="-102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ABA" w:rsidRDefault="00FC0ABA" w:rsidP="00FC0ABA">
      <w:r>
        <w:separator/>
      </w:r>
    </w:p>
  </w:endnote>
  <w:endnote w:type="continuationSeparator" w:id="0">
    <w:p w:rsidR="00FC0ABA" w:rsidRDefault="00FC0ABA" w:rsidP="00FC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ABA" w:rsidRDefault="00FC0AB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949" w:rsidRDefault="00FC0ABA">
    <w:pPr>
      <w:pStyle w:val="a3"/>
      <w:jc w:val="right"/>
    </w:pPr>
    <w:r>
      <w:fldChar w:fldCharType="begin"/>
    </w:r>
    <w:r>
      <w:instrText>PAGE</w:instrText>
    </w:r>
    <w:r>
      <w:fldChar w:fldCharType="separate"/>
    </w:r>
    <w:r w:rsidR="00DE2CBD">
      <w:rPr>
        <w:noProof/>
      </w:rPr>
      <w:t>2</w:t>
    </w:r>
    <w:r>
      <w:fldChar w:fldCharType="end"/>
    </w:r>
  </w:p>
  <w:p w:rsidR="00FC4949" w:rsidRDefault="00DE2CB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ABA" w:rsidRDefault="00FC0A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ABA" w:rsidRDefault="00FC0ABA" w:rsidP="00FC0ABA">
      <w:r>
        <w:separator/>
      </w:r>
    </w:p>
  </w:footnote>
  <w:footnote w:type="continuationSeparator" w:id="0">
    <w:p w:rsidR="00FC0ABA" w:rsidRDefault="00FC0ABA" w:rsidP="00FC0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ABA" w:rsidRDefault="00FC0A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ABA" w:rsidRDefault="00FC0AB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ABA" w:rsidRDefault="00FC0A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BA"/>
    <w:rsid w:val="001F16F1"/>
    <w:rsid w:val="003F4F38"/>
    <w:rsid w:val="0096668D"/>
    <w:rsid w:val="00B038BB"/>
    <w:rsid w:val="00CD259C"/>
    <w:rsid w:val="00DE2CBD"/>
    <w:rsid w:val="00FC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AABA561-217F-42E5-AD09-7CCB4193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BA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A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C0A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FC0ABA"/>
    <w:rPr>
      <w:rFonts w:ascii="Times New Roman" w:eastAsia="Times New Roman" w:hAnsi="Times New Roman" w:cs="Times New Roman"/>
      <w:color w:val="00000A"/>
      <w:sz w:val="26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FC0A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0ABA"/>
    <w:rPr>
      <w:rFonts w:ascii="Times New Roman" w:eastAsia="Times New Roman" w:hAnsi="Times New Roman" w:cs="Times New Roman"/>
      <w:color w:val="00000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Smetchik</cp:lastModifiedBy>
  <cp:revision>4</cp:revision>
  <dcterms:created xsi:type="dcterms:W3CDTF">2017-08-23T15:19:00Z</dcterms:created>
  <dcterms:modified xsi:type="dcterms:W3CDTF">2018-04-06T08:03:00Z</dcterms:modified>
</cp:coreProperties>
</file>