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35" w:rsidRDefault="00553F35" w:rsidP="00553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FKR22011800018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553F35" w:rsidTr="0054749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г.Архангельск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«12» марта 2018 года</w:t>
            </w:r>
          </w:p>
        </w:tc>
      </w:tr>
    </w:tbl>
    <w:p w:rsidR="00553F35" w:rsidRDefault="00553F35" w:rsidP="00553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F35" w:rsidRDefault="00553F35" w:rsidP="00553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процедуры предварительного отбора осуществляет контрактное агентство Архангельской области.</w:t>
      </w:r>
    </w:p>
    <w:p w:rsidR="00553F35" w:rsidRDefault="00553F35" w:rsidP="00553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рассмотрения заявок: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5 часов 0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553F35" w:rsidRDefault="00553F35" w:rsidP="00553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3F35" w:rsidRPr="0052411A" w:rsidRDefault="00553F35" w:rsidP="00553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1A">
        <w:rPr>
          <w:rFonts w:ascii="Times New Roman" w:hAnsi="Times New Roman" w:cs="Times New Roman"/>
          <w:bCs/>
          <w:sz w:val="24"/>
          <w:szCs w:val="24"/>
        </w:rPr>
        <w:t>1. Наименование процедуры предварительного отбора:</w:t>
      </w:r>
      <w:r w:rsidRPr="00524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F35" w:rsidRDefault="00553F35" w:rsidP="00553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предварительный отбор подрядных организаций для оказания услуг и (или) выполнения работ по капитальному ремонту общего имущества в многоквартирных домах (включение 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капитальному ремонту общего имущества многоквартирных домов (№01-18)</w:t>
      </w:r>
      <w:proofErr w:type="gramEnd"/>
    </w:p>
    <w:p w:rsidR="00553F35" w:rsidRDefault="00553F35" w:rsidP="00553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F35" w:rsidRDefault="00553F35" w:rsidP="00553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Извещение о проведении настоящей процедуры и документация были размещены «22» января 2018 года на сайте Единой электронной торговой площадки (АО «ЕЭТП»), по адресу в сети «Интернет»: </w:t>
      </w:r>
      <w:hyperlink r:id="rId4" w:history="1">
        <w:r w:rsidRPr="00EE2EB6">
          <w:rPr>
            <w:rStyle w:val="a3"/>
            <w:rFonts w:ascii="Times New Roman" w:hAnsi="Times New Roman" w:cs="Times New Roman"/>
            <w:sz w:val="24"/>
            <w:szCs w:val="24"/>
          </w:rPr>
          <w:t>https://fkr.roseltorg.ru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53F35" w:rsidRDefault="00553F35" w:rsidP="00553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F35" w:rsidRDefault="00553F35" w:rsidP="00553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проведения заседания: г. Архангельск,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Выучейского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18,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912.</w:t>
      </w:r>
    </w:p>
    <w:p w:rsidR="00553F35" w:rsidRDefault="00553F35" w:rsidP="00553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F35" w:rsidRDefault="00553F35" w:rsidP="00553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</w:p>
    <w:p w:rsidR="00553F35" w:rsidRDefault="00553F35" w:rsidP="00553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заседании комиссии (комиссия по проведению предварительного отбора подрядных организаций с целью формирования реестра квалифицированных подрядных организаций), при рассмотрении заявок на участие присутствовали: </w:t>
      </w:r>
      <w:proofErr w:type="gramEnd"/>
    </w:p>
    <w:p w:rsidR="00553F35" w:rsidRDefault="00553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</w:t>
      </w:r>
      <w:r>
        <w:rPr>
          <w:rFonts w:ascii="Times New Roman" w:hAnsi="Times New Roman" w:cs="Times New Roman"/>
          <w:sz w:val="24"/>
          <w:szCs w:val="24"/>
        </w:rPr>
        <w:t xml:space="preserve">миссии: Грекова Наталья Александровна </w:t>
      </w:r>
    </w:p>
    <w:p w:rsidR="00553F35" w:rsidRDefault="00553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Анисимов Алексей Александрович </w:t>
      </w:r>
    </w:p>
    <w:p w:rsidR="00553F35" w:rsidRDefault="00553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Алексеев Сергей Григорьевич </w:t>
      </w:r>
    </w:p>
    <w:p w:rsidR="00553F35" w:rsidRDefault="00553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Северьянов Константин Дмитриевич </w:t>
      </w:r>
    </w:p>
    <w:p w:rsidR="00553F35" w:rsidRDefault="00553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Самодова Елена Анатольевна</w:t>
      </w:r>
    </w:p>
    <w:p w:rsidR="00553F35" w:rsidRDefault="00553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53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до 08 часов 00 минут (время московское) «26» февраля 2018 года было подано 17 заявок от участников, с порядковыми номерами: 1, 2, 3,</w:t>
      </w:r>
      <w:r>
        <w:rPr>
          <w:rFonts w:ascii="Times New Roman" w:hAnsi="Times New Roman" w:cs="Times New Roman"/>
          <w:sz w:val="24"/>
          <w:szCs w:val="24"/>
        </w:rPr>
        <w:t xml:space="preserve"> 4, 5, 6, </w:t>
      </w:r>
      <w:r>
        <w:rPr>
          <w:rFonts w:ascii="Times New Roman" w:hAnsi="Times New Roman" w:cs="Times New Roman"/>
          <w:sz w:val="24"/>
          <w:szCs w:val="24"/>
        </w:rPr>
        <w:t>7, 8, 9, 10, 11, 12, 13, 14, 15, 16, 17.</w:t>
      </w:r>
    </w:p>
    <w:p w:rsidR="00000000" w:rsidRDefault="00553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>FKR22011800018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>
        <w:rPr>
          <w:rFonts w:ascii="Times New Roman" w:hAnsi="Times New Roman" w:cs="Times New Roman"/>
          <w:sz w:val="24"/>
          <w:szCs w:val="24"/>
        </w:rPr>
        <w:t>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553F35" w:rsidRDefault="00553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F35" w:rsidRDefault="00553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453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"/>
        <w:gridCol w:w="2127"/>
        <w:gridCol w:w="2476"/>
        <w:gridCol w:w="1634"/>
        <w:gridCol w:w="3685"/>
      </w:tblGrid>
      <w:tr w:rsidR="00553F35" w:rsidTr="00547492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документов, предоставленных участниками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553F35" w:rsidTr="00547492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'РТ Строй',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5424402873,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633162, Российская Федерация, Новосибирская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олывань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Трактовая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7-383-3620717,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ovbogacheva@regiontrade.ru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Pr="005E1C43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Pr="005E1C43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Pr="005E1C43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553F35" w:rsidTr="00547492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"НОВАТЭК",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2901232000,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163000, Российская Федерация, Архангельская область, Архангельск, Ломоносова, 220:: 87,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7-8182-629300,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novatek29@mail.ru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, 1)Выписка из ЕГРЮЛ, 2 Копии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Учередительных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минимальная_сумма_сделки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14)Копии актов приемки выполненных работ, 13)Копии исполненных договоров, 12)Сертификаты, аттестаты, удостоверения, 11)Дипломы, 10)Копии трудовых книжек, 9)Штатно-списочный состав сотрудников, 8)Копия штатного расписания, 7)Справка о состоянии расчетов, 6)Копия расчета по начисленным и уплаченным страховым взносам, 5)Справка об исполнении обязанности по уплате налогов, сборов, страховых взносов, пеней, штрафов, процентов.01, 4)Копия выписки из реестра членов СРО,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полномочия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соответствует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I «Общие положения» документации о проведении предварительного отбора, а именно:</w:t>
            </w:r>
          </w:p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участником предварительного отбора не представлен документ, подтверждающий полномочия лица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Алексея Владимировича) на осуществление действий от имени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предварительного отбора;</w:t>
            </w:r>
          </w:p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б) в представленной копии выписки из реестра членов саморегулируемой организации не указаны сведения об уровне ответственности члена саморегулируемой организации по обязательствам по договорам строительного подряда, заключаемым с использованием конкурентных способов заключения договоров.</w:t>
            </w:r>
            <w:proofErr w:type="gramEnd"/>
          </w:p>
        </w:tc>
      </w:tr>
      <w:tr w:rsidR="00553F35" w:rsidTr="00547492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'Северная роза',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2926008498,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163071, Российская Федерация, Архангельская область, Архангельск, Гайдара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7-8182-237850,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anna_sevroza@mail.ru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Заявка, Устав, Приказ, Протокол, Выписка из ЕГРЮЛ, Выписка из реестра СРО, Копии исполненных контрактов и актов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трудовых книжек, дипломов, аттестатов, Штатно-списочный состав работников, Штатное расписание, Расчет страховых взносов, Справка об отсутствии задолженности, ИНН, ОГРН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I «Общие положения» документации о проведении предварительного отбора, а именно:  </w:t>
            </w:r>
          </w:p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представлен не в полном объеме;</w:t>
            </w:r>
            <w:proofErr w:type="gramEnd"/>
          </w:p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участником предварительного отбора не представлены копии документов, подтверждающих 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 (предмет двух из представленных договоров не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предмету предварительного отбора – представлены договоры на выполнение работ по строительству, капитальному ремонту объектов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являющихся зданиями - объектами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строительства; копии актов о приемке выполненных работ по двум из договоров не подтверждают приемку заказчиком работ в полном объеме, так как представлены на сумму меньшую, чем цена договоров).</w:t>
            </w:r>
          </w:p>
        </w:tc>
      </w:tr>
      <w:tr w:rsidR="00553F35" w:rsidTr="00547492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"Нерей",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2902081548,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164500, Российская Федерация, Архангельская область, Северодвинск, Железнодорожная, 54 А:: 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7-921-0710570,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uk.nerey@yandex.ru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ПОСУ  избрания Управляющего, 02 Договор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Нерей_ИП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Гертнер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03 Информация об участнике, 04 Свидетельство о гос_ регистрации, 05 Свидетельство о постановке на НУ, 06 Выписка из реестра СРО, 7 выписка из ЕГРЮЛ, 8 Расчет по страховым взносам, 22 Трудовой Договор инженер, 21 Трудовой Договор ГЛ. инженер,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письмо о применении УСН, 19 Док, опыт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ч.1.pdf, 18 Док, опыт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работ_ремонт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ч.2.pdf, 17 сведения о соответствии Участника закупки критериям отнесения к СМП, 16 Сертификат ИСО 9001_2008, 15 инженерный состав, 14 Упрощенная бухгалтерская (финансовая) отчетность 2017г, 13 справка о состоянии расчетов по налогам, 12 выписка проектное СРО, 11 ПОСУ о крупных сделках, 10 УСТАВ, 9 кадровые ресурсы, 0 заявка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I «Общие положения» документации о проведении предварительного отбора, а именно: </w:t>
            </w:r>
          </w:p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участником предварительного отбора не представлены копии документов, подтверждающих наличие у участника предварительного отбора в штате минимального количества квалифицированного персонала (установленным требованиям к стажу работы по специальности соответствует только один сотрудник);</w:t>
            </w:r>
          </w:p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б) участником предварительного отбора не представлены копии документов, подтверждающих 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 (предмет представленных договоров не соответствует предмету предварительного отбора).</w:t>
            </w:r>
            <w:proofErr w:type="gramEnd"/>
          </w:p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F35" w:rsidTr="00547492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"Строй-Галерея",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2901185720,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163002, Российская Федерация, Архангельская область, Архангельск, пр.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Ленинградский, 3/1,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7-8182-460752,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stroy-galereya17@mail.ru</w:t>
            </w:r>
            <w:proofErr w:type="gram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участие, Сведения об участнике, Выписка ЕГРЮЛ, Свидетельства, Приказы, Справка из налоговой, Расчет по начисленным и уплаченным взносам, штатное расписание, сведения из реестра СМП, ИСО, декларация Турция, декларация о соответствии, решение об одобрении, Справка об опыте выполнения работ, Копии дипломов, Копии трудовых книжек, Штатно-списочный состав сотрудников, Выписка СРО, Устав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требованиям, установленным пунктом 38 Положения и части 10 раздела I «Общие положения» документации о проведении предварительного отбора, а именно,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представлен не в полном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3F35" w:rsidTr="00547492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5920027330,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617762, Российская Федерация, Пермский край, Чайковский, г, Советская, дом 1/13, корпус 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7-34241-62497,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safronova@energotec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hnol.ru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Опыт, Опыт, Опыт, Опыт, Опыт, Опыт, Опыт, Опыт, Опыт, Свидетельства ИНН ОГРН, Сведения об участнике, Декларация, Опыт, Опыт, Опыт, Опыт, Опыт, Опыт, Опыт, Трудовые книжки, Трудовые книжки, Трудовые книжки, Трудовые книжки, Штатно-списочный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состав, Штатное расписание, Расчет по страховым взносам, Справки ИФНС, Свидетельства о допуске, Полномочия, Учредительные, Выписка ЕГРЮЛ, Заявка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соответствует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I «Общие положения» документации о проведении предварительного отбора, а именно:    </w:t>
            </w:r>
          </w:p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представлена копия выписки из реестра членов саморегулируемой организации, полученной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один месяц до даты подачи заявки на участие в предварительном отборе;</w:t>
            </w:r>
          </w:p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б)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представлен не в полном объеме.</w:t>
            </w:r>
            <w:proofErr w:type="gramEnd"/>
          </w:p>
        </w:tc>
      </w:tr>
      <w:tr w:rsidR="00553F35" w:rsidTr="00547492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2918007035,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164200, Российская Федерация, Архангельская область и Ненецкий автономный округ,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Фадеева ул., 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7-81838-66022,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gsservis@atnet.ru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Pr="005E1C43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Pr="005E1C43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Pr="005E1C43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</w:tbl>
    <w:p w:rsidR="00553F35" w:rsidRDefault="00553F35" w:rsidP="00553F35">
      <w:r>
        <w:br w:type="page"/>
      </w:r>
    </w:p>
    <w:tbl>
      <w:tblPr>
        <w:tblW w:w="10453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"/>
        <w:gridCol w:w="2127"/>
        <w:gridCol w:w="2476"/>
        <w:gridCol w:w="1634"/>
        <w:gridCol w:w="3685"/>
      </w:tblGrid>
      <w:tr w:rsidR="00553F35" w:rsidTr="00547492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"СТТ",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3528240302,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162614, Российская Федерация, Вологодская область, город Череповец, Проспект Победы, дом 58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18 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7-921-2564240,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ovkss@mail.ru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Pr="005E1C43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Pr="005E1C43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Pr="005E1C43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553F35" w:rsidTr="00547492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"ДИВА СТРОЙ",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2902078062,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164500, Российская Федерация, Архангельская область, Северодвинск, Парковая, 2:: 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7-964-2920303,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divast@bk.ru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ДИВА строй, Протокол на избрание директора, Выписка из СРО, Справка о состоянии расчетов по налогам,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Рассчеты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начисленным и уплаченным страховым взносам в ПФ, Штатное расписание, Штатно-списочный состав, Трудовая книжка Гл. инженера, Диплом начальника ПТО, Заявка, Информация ООО "ДИВА строй", Протокол на одобрение крупной сделки, Договор 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Татнефть-АЗС-Запад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Договор подряда АО "СПО "Арктика", Муниципальный контракт КЖКХ, Договор АО "ПО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Повышение квалификации Инженера ПТО, Диплом Инженера ПТО, Трудовая книжка инженера ПТО, Повышение квалификации начальника ПТО,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ПТО, Повышение квалификации Гл.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Инженер, Диплом Гл. инженера, Справка налогового орган об отсутствии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задолжености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уплате налогов, Приказ о назначении директора, ИНН/КПП, ОГРН, ЕГРЮЛ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соответствует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требованиям, установленным пунктом 38 Положения и части 10 раздела I «Общие положения» документации о проведении предварительного отбора, а именно, участником предварительного отбора не представлены копии документов, подтверждающих 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 (предмет двух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представленных договоров не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предмету предварительного отбора – представлен договор на выполнение работ по ремонту объекта, не являющимся зданием – объектом капитального строительства, а также договор на выполнение работ по ремонту, не являющемуся капитальным).</w:t>
            </w:r>
          </w:p>
        </w:tc>
      </w:tr>
      <w:tr w:rsidR="00553F35" w:rsidTr="00547492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 ответственностью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пециализированная строительно-монтажная фирма "АРКТИКСПЕЦМОНТАЖ",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2901069153,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163061, Российская Федерация, Архангельская, обл, Архангельск, проспект Ломоносова, 13:: 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7-81852-56433,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arktik@mail.ru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Pr="005E1C43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Pr="005E1C43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Pr="005E1C43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</w:tbl>
    <w:p w:rsidR="00553F35" w:rsidRDefault="00553F35" w:rsidP="00553F35">
      <w:r>
        <w:br w:type="page"/>
      </w:r>
    </w:p>
    <w:tbl>
      <w:tblPr>
        <w:tblW w:w="10594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"/>
        <w:gridCol w:w="2268"/>
        <w:gridCol w:w="2476"/>
        <w:gridCol w:w="1634"/>
        <w:gridCol w:w="3685"/>
      </w:tblGrid>
      <w:tr w:rsidR="00553F35" w:rsidTr="00547492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2901175803,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163013, Российская Федерация, Архангельская область, г. Архангельск,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Маймаксанское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5, строение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8-8182-225582,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nord147@mail.ru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исполненных договоров с актами выполнения, копии трудовых книжек, дипломов, удостоверений,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свидетесльств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штатно-стисочный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сотрудников, штатное расписание с 01.01.2018, расчет по начисленным и уплаченным взносам, справка об отсутствии задолженности, выписка из СРО ОТ 21.02.2018, приказ 1 от 21.02.2018, протокол 3 от 12.02.2018, свидетельство о постановке на учет в ИФНС, свидетельство о регистрации, устав организации, выписка из ЕГРЮЛ от 26.01.2018, заявка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I «Общие положения» документации о проведении предварительного отбора, а именно:</w:t>
            </w:r>
          </w:p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 участником предварительного отбора не представлены копии документов, подтверждающих наличие у участника предварительного отбора в штате минимального количества квалифицированного персонала (установленным требованиям к уровню и направлению образования, стажу работы по специальности соответствует только один сотрудник, при этом, исходя из представленных документов, невозможно сделать вывод о наличии указанного сотрудника в штате участника предварительного отбора);</w:t>
            </w:r>
            <w:proofErr w:type="gramEnd"/>
          </w:p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участником предварительного отбора не представлены копии документов, подтверждающих 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предмету предварительного отбора: - предмет трех из представленных договоров не соответствует предмету предварительного отбора (представлены договоры на выполнение работ по ремонту объектов, не являющихся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зданиями – объектами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а также договор на выполнение работ по ремонту, не являющемуся капитальным);</w:t>
            </w:r>
          </w:p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копии актов о приемке выполненных работ по трем из договоров не подтверждают приемку заказчиком работ в полном объеме, так как представлены на сумму меньшую, чем цена договоров.</w:t>
            </w:r>
          </w:p>
        </w:tc>
      </w:tr>
      <w:tr w:rsidR="00553F35" w:rsidTr="00547492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"ПРОФМАКС",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2901255061,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163045, Российская Федерация, Архангельская область, Архангельск, Окружное шоссе, д.3 корп.5,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7-8182-629311,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arhvokhtomin@gmail.com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Алимов, Уведомление Никитина, Учредительные документы, Штатное расписание, Штатно-списочный состав работников, Договор молоко, Договор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монтаж-спецстрой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Договор молоко 2, договор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мегамолстрой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Договор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ацбк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договор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Авиллон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СРО, Справка об исполнении обязательства, Расчет по взносам, Квитанция о приеме налоговой декларации, Квитанции к декларации, Опись договоров, Заявка, Документы на Никитину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Выписка ИФНС, выписка из реестра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I «Общие положения» документации о проведении предварительного отбора, а именно:</w:t>
            </w:r>
          </w:p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 в представленной копии выписки из реестра членов саморегулируемой организации не указаны сведения об уровне ответственности члена саморегулируемой организации по обязательствам по договорам строительного подряда, заключаемым с использованием конкурентных способов заключения договоров;</w:t>
            </w:r>
            <w:proofErr w:type="gramEnd"/>
          </w:p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участником предварительного отбора не представлены копии документов, подтверждающих наличие у участника предварительного отбора в штате минимального количества квалифицированного персонала (установленным требованиям к уровню и направлению образования соответствует только один сотрудник).</w:t>
            </w:r>
          </w:p>
        </w:tc>
      </w:tr>
      <w:tr w:rsidR="00553F35" w:rsidTr="00547492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"БИЗНЕС И НЕДВИЖИМОСТЬ",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2901262703,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163000, Российская Федерация, Архангельская область, г. Архангельск, Гайдара, 44/1:: 53,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8-902-1950219,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ooo.bin@yandex.ru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Pr="005E1C43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Представлены документы в соответствии с требованиями документации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Pr="005E1C43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Pr="005E1C43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553F35" w:rsidTr="00547492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"Консул",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2901183949,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163045, Российская Федерация, Архангельская область, Архангельск,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10:: 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7-8182-243607,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konsol97@atnet.ru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Pr="005E1C43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Pr="005E1C43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Pr="005E1C43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</w:tbl>
    <w:p w:rsidR="00553F35" w:rsidRDefault="00553F35" w:rsidP="00553F35">
      <w:r>
        <w:br w:type="page"/>
      </w:r>
    </w:p>
    <w:tbl>
      <w:tblPr>
        <w:tblW w:w="10453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"/>
        <w:gridCol w:w="2127"/>
        <w:gridCol w:w="2476"/>
        <w:gridCol w:w="1634"/>
        <w:gridCol w:w="3685"/>
      </w:tblGrid>
      <w:tr w:rsidR="00553F35" w:rsidTr="00547492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"А-ЭЛИТА СТРОЙ ИНВЕСТ",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2920015940,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164170, Российская Федерация, Архангельская область, Мирный г, Гагарина, 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7-921-0803187,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a-elita.stroi.invest@yandex.ru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исполнении обязанности по уплате налогов, сборов, страховых взносов, пеней, штрафов, процентов, Выполненный договор подряда РОСНЕФТЬ 2, Выполненный договор подряда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школа", Выполненный договор подряда ООО Дон, Выполненный договор подряда МО Плесецкое, Выполненный договор подряда РОСНЕФТЬ, Расчет начислений страховых взносов за 4-й квартал 2017г,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включенный в "Национальный реестр специалистов"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 Специалист включенный в "Национальный реестр специалистов" Акимов В.Л., Штатно-списочный состав сотрудников, Штатное расписание ООО А-ЭЛИТА СТРОЙ ИНВЕСТ, Устав ООО А-ЭЛИТА СТРОЙ ИНВЕСТ, Приказ о вступлении в должность Акимова В.Л., Пояснение к заявке, Заявка на участие в предварительном отборе, Выписка из СРО, Выписка из ЕГРЮЛ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I «Общие положения» документации о проведении предварительного отбора, а именно:</w:t>
            </w:r>
          </w:p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участником предварительного отбора не представлен документ, подтверждающий полномочия лица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Приятнова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Александровича) на осуществление действий от имени участника предварительного отбора;</w:t>
            </w:r>
          </w:p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б) в представленной копии выписки из реестра членов саморегулируемой организации не указаны сведения об уровне ответственности члена саморегулируемой организации по обязательствам по договорам строительного подряда, заключаемым с использованием конкурентных способов заключения договоров;</w:t>
            </w:r>
            <w:proofErr w:type="gramEnd"/>
          </w:p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представленная копия выписки из Единого государственного реестра юридических лиц не засвидетельствована нотариально;</w:t>
            </w:r>
          </w:p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расчет по начисленным и уплаченным страховым взносам на обязательное пенсионное страхование в Пенсионный фонд Российской Федерации 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представлен не в полном объеме (отсутствует страница 1);</w:t>
            </w:r>
            <w:proofErr w:type="gramEnd"/>
          </w:p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участником предварительного отбора не представлены копии документов, подтверждающих наличие у участника предварительного отбора в штате минимального количества квалифицированного персонала (установленным требованиям к уровню и направлению образования, а также стажу работы по специальности не соответствует ни одного сотрудника).</w:t>
            </w:r>
            <w:proofErr w:type="gramEnd"/>
          </w:p>
        </w:tc>
      </w:tr>
      <w:tr w:rsidR="00553F35" w:rsidTr="00547492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"Сполохи",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2903009569,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163002, Российская Федерация, Архангельская область, Архангельск г, Павла Усова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37, строение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7-8182-482500,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pochtagladkih@mail.ru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4, Контракт 3, Контракт 2, Контракт 1, Штатно-списочный состав сотрудников, Штатное расписание, Кадры, Расчет по уплаченным и начисленным страховым взносам, Справка об отсутствии задолженности, Свидетельство СРО, Устав, Решение о назначении ГД, Приказ о вступлении в должность ГД, Выписка из ЕГРЮЛ, Заявка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I «Общие положения» документации о проведении предварительного отбора, а именно:</w:t>
            </w:r>
          </w:p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представленная выписка из Единого государственного реестра юридических лиц получена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30 календарных дней до даты подачи заявки на участие в предварительном отборе;</w:t>
            </w:r>
          </w:p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участником предварительного отбора не представлена 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отборе.</w:t>
            </w:r>
          </w:p>
        </w:tc>
      </w:tr>
      <w:tr w:rsidR="00553F35" w:rsidTr="00547492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2902044031,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164521, Российская Федерация, Архангельская область и Ненецкий автономный округ, Северодвинск, Грузовой проезд, 25,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7-8184-554555,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urist@ktagroup.ru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на работников, Опыт 5, Опыт 4, Опыт 3, Опыт 2, Опыт 1, Штатно-списочная численность, Штатное расписание,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Заявка+документы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требованиям, установленным пунктом 38 Положения и части 10 раздела I «Общие положения» документации о проведении предварительного отбора, а именно: участником предварительного отбора не представлены копии документов, подтверждающих наличие у участника предварительного отбора в штате минимального количества квалифицированного персонала (копии заполненных листов трудовой книжки одного из сотрудников представлены не в полном объеме и не позволяют сделать вывод о наличии указанного сотрудника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штате участника предварительного отбора).</w:t>
            </w:r>
          </w:p>
        </w:tc>
      </w:tr>
    </w:tbl>
    <w:p w:rsidR="00553F35" w:rsidRDefault="00553F35" w:rsidP="00553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решении каждого члена комиссии о допуске заявителей к участию в процедуре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53F35" w:rsidRDefault="00553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40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294"/>
        <w:gridCol w:w="1186"/>
        <w:gridCol w:w="1585"/>
        <w:gridCol w:w="4394"/>
      </w:tblGrid>
      <w:tr w:rsidR="00000000" w:rsidTr="00553F35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000000" w:rsidTr="00553F35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553F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Наталья Александровна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ения» документации о проведении предварительного отбора</w:t>
            </w:r>
            <w:proofErr w:type="gramEnd"/>
          </w:p>
        </w:tc>
      </w:tr>
      <w:tr w:rsidR="00000000" w:rsidTr="00553F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Алексей Александрович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00000" w:rsidTr="00553F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00000" w:rsidTr="00553F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Северьянов Константин Дмитриевич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00000" w:rsidTr="00553F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 проведении предварительного отбора</w:t>
            </w:r>
            <w:proofErr w:type="gramEnd"/>
          </w:p>
        </w:tc>
      </w:tr>
      <w:tr w:rsidR="00000000" w:rsidTr="00553F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 w:rsidTr="00553F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000" w:rsidTr="00553F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00000" w:rsidRDefault="00553F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49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83"/>
        <w:gridCol w:w="1560"/>
        <w:gridCol w:w="2835"/>
        <w:gridCol w:w="1502"/>
        <w:gridCol w:w="2915"/>
      </w:tblGrid>
      <w:tr w:rsidR="00000000" w:rsidTr="00553F35">
        <w:trPr>
          <w:trHeight w:val="100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№4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№5</w:t>
            </w:r>
          </w:p>
        </w:tc>
      </w:tr>
      <w:tr w:rsidR="00000000" w:rsidTr="00553F35">
        <w:trPr>
          <w:trHeight w:val="100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553F35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00000" w:rsidTr="00553F35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Алексей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едварительного отбора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ведении предварительного отбора</w:t>
            </w:r>
            <w:proofErr w:type="gramEnd"/>
          </w:p>
        </w:tc>
      </w:tr>
      <w:tr w:rsidR="00000000" w:rsidTr="00553F35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00000" w:rsidTr="00553F35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Северьянов Константин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00000" w:rsidTr="00553F35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 Елена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Положения: несоответствие 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Отказано в допуске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Положения: несоответств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00000" w:rsidTr="00553F35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 w:rsidTr="00553F35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000" w:rsidTr="00553F35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00000" w:rsidRDefault="00553F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4"/>
        <w:gridCol w:w="1276"/>
        <w:gridCol w:w="2625"/>
        <w:gridCol w:w="1627"/>
        <w:gridCol w:w="2767"/>
      </w:tblGrid>
      <w:tr w:rsidR="00000000" w:rsidTr="00553F35">
        <w:trPr>
          <w:trHeight w:val="100"/>
          <w:jc w:val="center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частник №6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</w:tr>
      <w:tr w:rsidR="00000000" w:rsidTr="00553F35">
        <w:trPr>
          <w:trHeight w:val="100"/>
          <w:jc w:val="center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553F35">
        <w:trPr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00000" w:rsidTr="00553F35">
        <w:trPr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Алексей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00000" w:rsidTr="00553F35">
        <w:trPr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00000" w:rsidTr="00553F35">
        <w:trPr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Северьянов Константин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допуске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 Положения и части 10 раздела I «Общие положения» документации о проведении предварительного 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Отказано в допуске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 Положения и части 10 раздела I «Общие положения» документации о проведении предваритель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  <w:proofErr w:type="gramEnd"/>
          </w:p>
        </w:tc>
      </w:tr>
      <w:tr w:rsidR="00000000" w:rsidTr="00553F35">
        <w:trPr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Самодова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предварительного отбора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оложения» документации о проведении предварительного отбора</w:t>
            </w:r>
            <w:proofErr w:type="gramEnd"/>
          </w:p>
        </w:tc>
      </w:tr>
      <w:tr w:rsidR="00000000" w:rsidTr="00553F35">
        <w:trPr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 w:rsidTr="00553F35">
        <w:trPr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000" w:rsidTr="00553F35">
        <w:trPr>
          <w:trHeight w:val="1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00000" w:rsidRDefault="00553F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814"/>
        <w:gridCol w:w="2325"/>
        <w:gridCol w:w="1814"/>
        <w:gridCol w:w="2325"/>
      </w:tblGrid>
      <w:tr w:rsidR="00000000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№8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Алексей Александрович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Северьянов Константин Дмитриевич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553F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435"/>
        <w:gridCol w:w="3029"/>
        <w:gridCol w:w="1644"/>
        <w:gridCol w:w="1560"/>
      </w:tblGrid>
      <w:tr w:rsidR="00000000" w:rsidTr="00553F35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№9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№10</w:t>
            </w:r>
          </w:p>
        </w:tc>
      </w:tr>
      <w:tr w:rsidR="00000000" w:rsidTr="00553F35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553F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553F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нисимов Алексей Александрович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о проведении предварительного отбора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553F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553F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Северьянов Константин Дмитриевич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553F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 Елена Анатольевна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одпунктом б) пункта 53 Положения: несоответствие заявки на участие в предварительном отборе требованиям, установленным пунктом 38 Положения и части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553F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 w:rsidTr="00553F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 w:rsidTr="00553F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553F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42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294"/>
        <w:gridCol w:w="2787"/>
        <w:gridCol w:w="1502"/>
        <w:gridCol w:w="2892"/>
      </w:tblGrid>
      <w:tr w:rsidR="00000000" w:rsidTr="00553F35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№12</w:t>
            </w:r>
          </w:p>
        </w:tc>
      </w:tr>
      <w:tr w:rsidR="00000000" w:rsidTr="00553F35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553F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00000" w:rsidTr="00553F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Алексей Александрович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00000" w:rsidTr="00553F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рьевич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ительного отбора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предварительного отбора</w:t>
            </w:r>
            <w:proofErr w:type="gramEnd"/>
          </w:p>
        </w:tc>
      </w:tr>
      <w:tr w:rsidR="00000000" w:rsidTr="00553F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Северьянов Константин Дмитриевич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«Общие положения» документации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предварительного отбора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Отказано в допуске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00000" w:rsidTr="00553F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Самодова Елена Анатольевна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00000" w:rsidTr="00553F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 w:rsidTr="00553F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000" w:rsidTr="00553F3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00000" w:rsidRDefault="00553F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814"/>
        <w:gridCol w:w="2325"/>
        <w:gridCol w:w="1814"/>
        <w:gridCol w:w="2325"/>
      </w:tblGrid>
      <w:tr w:rsidR="00000000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№14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снование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Алексей Александрович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Северьянов Константин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 Елена 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553F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44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1368"/>
        <w:gridCol w:w="2835"/>
        <w:gridCol w:w="1502"/>
        <w:gridCol w:w="2892"/>
      </w:tblGrid>
      <w:tr w:rsidR="00000000" w:rsidTr="00553F35">
        <w:trPr>
          <w:trHeight w:val="100"/>
          <w:jc w:val="center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№16</w:t>
            </w:r>
          </w:p>
        </w:tc>
      </w:tr>
      <w:tr w:rsidR="00000000" w:rsidTr="00553F35">
        <w:trPr>
          <w:trHeight w:val="100"/>
          <w:jc w:val="center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ование</w:t>
            </w:r>
          </w:p>
        </w:tc>
      </w:tr>
      <w:tr w:rsidR="00000000" w:rsidTr="00553F35">
        <w:trPr>
          <w:trHeight w:val="10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кументации о проведении предварительного отбора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ожения» документации о проведении предварительного отбора</w:t>
            </w:r>
            <w:proofErr w:type="gramEnd"/>
          </w:p>
        </w:tc>
      </w:tr>
      <w:tr w:rsidR="00000000" w:rsidTr="00553F35">
        <w:trPr>
          <w:trHeight w:val="10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Алексей Александрович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00000" w:rsidTr="00553F35">
        <w:trPr>
          <w:trHeight w:val="10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00000" w:rsidTr="00553F35">
        <w:trPr>
          <w:trHeight w:val="10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Северьянов Константин Дмитриевич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00000" w:rsidTr="00553F35">
        <w:trPr>
          <w:trHeight w:val="10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 Елена Анатольевна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 в допуске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</w:t>
            </w:r>
            <w:proofErr w:type="gramEnd"/>
          </w:p>
        </w:tc>
      </w:tr>
      <w:tr w:rsidR="00000000" w:rsidTr="00553F35">
        <w:trPr>
          <w:trHeight w:val="10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 w:rsidTr="00553F35">
        <w:trPr>
          <w:trHeight w:val="10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000" w:rsidTr="00553F35">
        <w:trPr>
          <w:trHeight w:val="10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00000" w:rsidRDefault="00553F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814"/>
        <w:gridCol w:w="6464"/>
      </w:tblGrid>
      <w:tr w:rsidR="00000000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№17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Алексей Александрович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Северьянов Константин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митриевич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варительного отбора</w:t>
            </w:r>
            <w:proofErr w:type="gramEnd"/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 Елена 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ожения» документации о проведении предварительного отбора</w:t>
            </w:r>
            <w:proofErr w:type="gramEnd"/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00000" w:rsidRDefault="00553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Участники предварительного отбора, соответствующие требованиям документации по проведению предварительного отбора (пункт 6 настоящего протокола) включаются рее</w:t>
      </w:r>
      <w:r>
        <w:rPr>
          <w:rFonts w:ascii="Times New Roman" w:hAnsi="Times New Roman" w:cs="Times New Roman"/>
          <w:sz w:val="24"/>
          <w:szCs w:val="24"/>
        </w:rPr>
        <w:t>стр квалифицированных подрядных организаций.</w:t>
      </w:r>
    </w:p>
    <w:p w:rsidR="00000000" w:rsidRDefault="00553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8. Участники предварительного отбора, не соответствующие требованиям документации о проведении предварительного отбора (пункт 6 настоящего протокола), не включаются реестр квалифицированных подрядных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по основаниям, указанным в графе «Основание для решения».</w:t>
      </w:r>
    </w:p>
    <w:p w:rsidR="00000000" w:rsidRDefault="00553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9. Информация об участниках предварительного отбора, заявки на участие в предварительном отборе которых соответствуют требованиям документации по предварительному отбору: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4366"/>
        <w:gridCol w:w="4366"/>
      </w:tblGrid>
      <w:tr w:rsidR="00000000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именование участника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работ, указанная в свидетельстве саморегулируемой организации</w:t>
            </w:r>
          </w:p>
        </w:tc>
      </w:tr>
      <w:tr w:rsidR="00000000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'РТ Строй'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60000000.00</w:t>
            </w:r>
          </w:p>
        </w:tc>
      </w:tr>
      <w:tr w:rsidR="00000000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60000000.00</w:t>
            </w:r>
          </w:p>
        </w:tc>
      </w:tr>
      <w:tr w:rsidR="00000000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ОТВЕТСТВЕННОСТЬЮ "СТТ"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60000000.00</w:t>
            </w:r>
          </w:p>
        </w:tc>
      </w:tr>
      <w:tr w:rsidR="00000000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 ответственностью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пециализированная строительно-монтажная фирма "АРКТИКСПЕЦМОНТАЖ"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60000000.00</w:t>
            </w:r>
          </w:p>
        </w:tc>
      </w:tr>
      <w:tr w:rsidR="00000000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"БИЗНЕС И НЕДВИЖИМОСТЬ"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50000000.00</w:t>
            </w:r>
          </w:p>
        </w:tc>
      </w:tr>
      <w:tr w:rsidR="00000000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"Консул"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500000000.00</w:t>
            </w:r>
          </w:p>
        </w:tc>
      </w:tr>
    </w:tbl>
    <w:p w:rsidR="00553F35" w:rsidRDefault="00553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Настоящий протокол рассмотрения заявок направлен на сайт Единой электронной торговой площадки, по адресу в сети «Интернет»: </w:t>
      </w:r>
      <w:hyperlink w:anchor="https://fkr.roseltorg.ru" w:history="1">
        <w:r>
          <w:rPr>
            <w:rFonts w:ascii="Times New Roman" w:hAnsi="Times New Roman" w:cs="Times New Roman"/>
            <w:sz w:val="24"/>
            <w:szCs w:val="24"/>
          </w:rPr>
          <w:t>https://fkr.roseltorg.ru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53F35" w:rsidRDefault="00553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454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242"/>
        <w:gridCol w:w="321"/>
        <w:gridCol w:w="3421"/>
        <w:gridCol w:w="85"/>
      </w:tblGrid>
      <w:tr w:rsidR="00553F35" w:rsidRPr="00553F35" w:rsidTr="00553F35">
        <w:trPr>
          <w:gridAfter w:val="1"/>
          <w:wAfter w:w="85" w:type="dxa"/>
          <w:cantSplit/>
          <w:trHeight w:val="567"/>
        </w:trPr>
        <w:tc>
          <w:tcPr>
            <w:tcW w:w="103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F35" w:rsidRP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комиссии, присутствующие на заседании:</w:t>
            </w:r>
          </w:p>
        </w:tc>
      </w:tr>
      <w:tr w:rsidR="00553F35" w:rsidTr="00553F35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F35" w:rsidRP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F35" w:rsidRP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F3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F35" w:rsidRP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/Грекова Наталья Александровна/</w:t>
            </w:r>
          </w:p>
        </w:tc>
      </w:tr>
      <w:tr w:rsidR="00553F35" w:rsidTr="00553F35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F35" w:rsidRP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F35" w:rsidRP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F3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F35" w:rsidRP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/Северьянов Константин Дмитриевич/</w:t>
            </w:r>
          </w:p>
        </w:tc>
      </w:tr>
      <w:tr w:rsidR="00553F35" w:rsidTr="00553F35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F35" w:rsidRP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F35" w:rsidRP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F3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F35" w:rsidRP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/Анисимов Алексей Александрович/</w:t>
            </w:r>
          </w:p>
        </w:tc>
      </w:tr>
      <w:tr w:rsidR="00553F35" w:rsidTr="00553F35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F35" w:rsidRP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F35" w:rsidRP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F3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F35" w:rsidRP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/Самодова Елена Анатольевна/</w:t>
            </w:r>
          </w:p>
        </w:tc>
      </w:tr>
      <w:tr w:rsidR="00553F35" w:rsidTr="00553F35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F35" w:rsidRP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F35" w:rsidRP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F3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F35" w:rsidRPr="00553F35" w:rsidRDefault="00553F35" w:rsidP="0054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/Алексеев Сергей Григорьевич/</w:t>
            </w:r>
          </w:p>
        </w:tc>
      </w:tr>
      <w:tr w:rsidR="00000000" w:rsidTr="00553F35">
        <w:trPr>
          <w:gridAfter w:val="1"/>
          <w:wAfter w:w="85" w:type="dxa"/>
          <w:cantSplit/>
          <w:trHeight w:val="567"/>
        </w:trPr>
        <w:tc>
          <w:tcPr>
            <w:tcW w:w="103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553F35">
        <w:trPr>
          <w:gridAfter w:val="1"/>
          <w:wAfter w:w="85" w:type="dxa"/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553F35">
        <w:trPr>
          <w:gridAfter w:val="1"/>
          <w:wAfter w:w="85" w:type="dxa"/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553F35">
        <w:trPr>
          <w:gridAfter w:val="1"/>
          <w:wAfter w:w="85" w:type="dxa"/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553F35">
        <w:trPr>
          <w:gridAfter w:val="1"/>
          <w:wAfter w:w="85" w:type="dxa"/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553F35">
        <w:trPr>
          <w:gridAfter w:val="1"/>
          <w:wAfter w:w="85" w:type="dxa"/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53F35"/>
    <w:sectPr w:rsidR="0000000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776EF"/>
    <w:rsid w:val="00553F35"/>
    <w:rsid w:val="00A7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F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r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5732</Words>
  <Characters>41388</Characters>
  <Application>Microsoft Office Word</Application>
  <DocSecurity>0</DocSecurity>
  <Lines>344</Lines>
  <Paragraphs>94</Paragraphs>
  <ScaleCrop>false</ScaleCrop>
  <Company/>
  <LinksUpToDate>false</LinksUpToDate>
  <CharactersWithSpaces>47026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vsivanec</cp:lastModifiedBy>
  <cp:revision>3</cp:revision>
  <dcterms:created xsi:type="dcterms:W3CDTF">2018-03-13T06:57:00Z</dcterms:created>
  <dcterms:modified xsi:type="dcterms:W3CDTF">2018-03-13T07:00:00Z</dcterms:modified>
</cp:coreProperties>
</file>