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  <w:t>Ответ на запрос от 18.04.2018г.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00"/>
        <w:gridCol w:w="5838"/>
      </w:tblGrid>
      <w:tr>
        <w:trPr/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Содержание запроса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Ответ на запрос</w:t>
            </w:r>
          </w:p>
        </w:tc>
      </w:tr>
      <w:tr>
        <w:trPr/>
        <w:tc>
          <w:tcPr>
            <w:tcW w:w="38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uppressLineNumbers/>
              <w:ind w:left="0" w:right="0" w:firstLine="283"/>
              <w:jc w:val="both"/>
              <w:rPr/>
            </w:pPr>
            <w:r>
              <w:rPr>
                <w:lang w:val="ru-RU"/>
              </w:rPr>
              <w:t>П</w:t>
            </w:r>
            <w:r>
              <w:rPr/>
              <w:t>рошу дать пояснения по вопросу формирования цены на кирпич керамический. В IV квартале 2017 года средняя цена на кирпич была выше, а в настоящее время ещё выше. Предлагаем пересмотреть в этой части ЛСР в сторону увеличения.</w:t>
            </w:r>
          </w:p>
        </w:tc>
        <w:tc>
          <w:tcPr>
            <w:tcW w:w="5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widowControl/>
              <w:suppressLineNumbers/>
              <w:ind w:left="0" w:right="0" w:firstLine="340"/>
              <w:jc w:val="both"/>
              <w:rPr>
                <w:rFonts w:ascii="Times New Roman" w:hAnsi="Times New Roman"/>
                <w:sz w:val="24"/>
                <w:szCs w:val="24"/>
                <w:lang w:val="zxx" w:eastAsia="zxx" w:bidi="zxx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zxx" w:eastAsia="zxx" w:bidi="zxx"/>
              </w:rPr>
              <w:t>При составлении локального ресурсного сметного расчета региональный оператор руководствовался сборником ССЦ Архангельской области на IV-2017, утвержденным распоряжением Минстроя Архангельской области №136-р от 21.12.2017 «Об утверждении сборника средних сметных цен Архангельской области за четвертый квартал 2017 года»</w:t>
            </w:r>
            <w:r>
              <w:rPr>
                <w:rFonts w:ascii="Times New Roman" w:hAnsi="Times New Roman"/>
                <w:sz w:val="24"/>
                <w:szCs w:val="24"/>
                <w:lang w:val="zxx" w:eastAsia="zxx" w:bidi="zxx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LibreOffice/5.2.0.4$Windows_x86 LibreOffice_project/066b007f5ebcc236395c7d282ba488bca6720265</Application>
  <Pages>1</Pages>
  <Words>82</Words>
  <Characters>530</Characters>
  <CharactersWithSpaces>608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2018-04-19T10:08:18Z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